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420"/>
        <w:rPr>
          <w:rFonts w:ascii="方正兰亭黑简体" w:hAnsi="方正兰亭黑简体" w:eastAsia="方正兰亭黑简体"/>
        </w:rPr>
      </w:pPr>
      <w:r>
        <w:rPr>
          <w:rFonts w:hint="eastAsia" w:ascii="方正兰亭黑简体" w:hAnsi="方正兰亭黑简体" w:eastAsia="方正兰亭黑简体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-1162050</wp:posOffset>
            </wp:positionH>
            <wp:positionV relativeFrom="paragraph">
              <wp:posOffset>-941070</wp:posOffset>
            </wp:positionV>
            <wp:extent cx="7601585" cy="1334135"/>
            <wp:effectExtent l="0" t="0" r="18415" b="18415"/>
            <wp:wrapNone/>
            <wp:docPr id="1" name="图片 1" descr="顶底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顶底图片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7601585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  <w:sz w:val="52"/>
          <w:szCs w:val="52"/>
        </w:rPr>
        <w:drawing>
          <wp:inline distT="0" distB="0" distL="0" distR="0">
            <wp:extent cx="1247775" cy="461010"/>
            <wp:effectExtent l="0" t="0" r="9525" b="15240"/>
            <wp:docPr id="6" name="图片 6" descr="C:\Users\SXF-Admin\Desktop\01 信锐logo黑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:\Users\SXF-Admin\Desktop\01 信锐logo黑色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53741" cy="46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ind w:firstLine="0" w:firstLineChars="0"/>
        <w:jc w:val="left"/>
        <w:rPr>
          <w:rFonts w:ascii="方正兰亭黑简体" w:hAnsi="方正兰亭黑简体" w:eastAsia="方正兰亭黑简体"/>
        </w:rPr>
      </w:pPr>
    </w:p>
    <w:p>
      <w:pPr>
        <w:pStyle w:val="27"/>
        <w:rPr>
          <w:rFonts w:hint="eastAsia" w:ascii="方正兰亭黑简体" w:hAnsi="方正兰亭黑简体" w:eastAsia="方正兰亭黑简体"/>
          <w:lang w:val="en-US" w:eastAsia="zh-CN"/>
        </w:rPr>
      </w:pPr>
      <w:r>
        <w:rPr>
          <w:rFonts w:ascii="方正兰亭黑简体" w:hAnsi="方正兰亭黑简体" w:eastAsia="方正兰亭黑简体"/>
        </w:rPr>
        <w:t>XXX</w:t>
      </w:r>
      <w:r>
        <w:rPr>
          <w:rFonts w:hint="eastAsia" w:ascii="方正兰亭黑简体" w:hAnsi="方正兰亭黑简体" w:eastAsia="方正兰亭黑简体"/>
          <w:lang w:val="en-US" w:eastAsia="zh-CN"/>
        </w:rPr>
        <w:t>客户</w:t>
      </w:r>
    </w:p>
    <w:p>
      <w:pPr>
        <w:pStyle w:val="27"/>
        <w:rPr>
          <w:rFonts w:ascii="方正兰亭黑简体" w:hAnsi="方正兰亭黑简体" w:eastAsia="方正兰亭黑简体"/>
        </w:rPr>
      </w:pPr>
      <w:r>
        <w:rPr>
          <w:rFonts w:hint="eastAsia" w:ascii="方正兰亭黑简体" w:hAnsi="方正兰亭黑简体" w:eastAsia="方正兰亭黑简体"/>
          <w:lang w:val="en-US" w:eastAsia="zh-CN"/>
        </w:rPr>
        <w:t>无线迁移方案</w:t>
      </w:r>
    </w:p>
    <w:p/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pStyle w:val="29"/>
        <w:rPr>
          <w:rFonts w:ascii="方正兰亭黑简体" w:hAnsi="方正兰亭黑简体" w:eastAsia="方正兰亭黑简体"/>
          <w:b w:val="0"/>
          <w:sz w:val="28"/>
          <w:szCs w:val="36"/>
        </w:rPr>
      </w:pPr>
      <w:r>
        <w:rPr>
          <w:rFonts w:hint="eastAsia" w:ascii="方正兰亭黑简体" w:hAnsi="方正兰亭黑简体" w:eastAsia="方正兰亭黑简体"/>
          <w:b w:val="0"/>
          <w:sz w:val="28"/>
          <w:szCs w:val="36"/>
        </w:rPr>
        <w:t>深圳市信锐网科技术有限公司</w:t>
      </w:r>
    </w:p>
    <w:p>
      <w:pPr>
        <w:pStyle w:val="29"/>
        <w:rPr>
          <w:rFonts w:hint="eastAsia" w:ascii="方正兰亭黑简体" w:hAnsi="方正兰亭黑简体" w:eastAsia="方正兰亭黑简体"/>
          <w:b w:val="0"/>
          <w:sz w:val="28"/>
          <w:szCs w:val="36"/>
        </w:rPr>
      </w:pPr>
    </w:p>
    <w:p>
      <w:pPr>
        <w:pStyle w:val="29"/>
        <w:rPr>
          <w:rFonts w:ascii="方正兰亭黑简体" w:hAnsi="方正兰亭黑简体" w:eastAsia="方正兰亭黑简体"/>
          <w:b w:val="0"/>
          <w:sz w:val="28"/>
          <w:szCs w:val="36"/>
        </w:rPr>
      </w:pPr>
      <w:r>
        <w:rPr>
          <w:rFonts w:hint="eastAsia" w:ascii="方正兰亭黑简体" w:hAnsi="方正兰亭黑简体" w:eastAsia="方正兰亭黑简体"/>
          <w:b w:val="0"/>
          <w:sz w:val="28"/>
          <w:szCs w:val="36"/>
        </w:rPr>
        <w:t>2022年</w:t>
      </w:r>
      <w:r>
        <w:rPr>
          <w:rFonts w:hint="eastAsia" w:ascii="方正兰亭黑简体" w:hAnsi="方正兰亭黑简体" w:eastAsia="方正兰亭黑简体"/>
          <w:b w:val="0"/>
          <w:sz w:val="28"/>
          <w:szCs w:val="36"/>
          <w:lang w:val="en-US" w:eastAsia="zh-CN"/>
        </w:rPr>
        <w:t>9</w:t>
      </w:r>
      <w:r>
        <w:rPr>
          <w:rFonts w:hint="eastAsia" w:ascii="方正兰亭黑简体" w:hAnsi="方正兰亭黑简体" w:eastAsia="方正兰亭黑简体"/>
          <w:b w:val="0"/>
          <w:sz w:val="28"/>
          <w:szCs w:val="36"/>
        </w:rPr>
        <w:t>月</w:t>
      </w:r>
    </w:p>
    <w:p>
      <w:pPr>
        <w:pStyle w:val="29"/>
        <w:rPr>
          <w:rFonts w:ascii="方正兰亭黑简体" w:hAnsi="方正兰亭黑简体" w:eastAsia="方正兰亭黑简体"/>
          <w:b w:val="0"/>
          <w:sz w:val="28"/>
          <w:szCs w:val="36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964" w:footer="907" w:gutter="0"/>
          <w:cols w:space="425" w:num="1"/>
          <w:titlePg/>
          <w:docGrid w:type="lines" w:linePitch="312" w:charSpace="0"/>
        </w:sectPr>
      </w:pPr>
      <w:r>
        <w:rPr>
          <w:rFonts w:hint="eastAsia" w:ascii="方正兰亭黑简体" w:hAnsi="方正兰亭黑简体" w:eastAsia="方正兰亭黑简体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-1153795</wp:posOffset>
            </wp:positionH>
            <wp:positionV relativeFrom="paragraph">
              <wp:posOffset>1957070</wp:posOffset>
            </wp:positionV>
            <wp:extent cx="7601585" cy="1334135"/>
            <wp:effectExtent l="0" t="0" r="0" b="0"/>
            <wp:wrapNone/>
            <wp:docPr id="3" name="图片 3" descr="顶底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顶底图片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156" w:beforeLines="50" w:line="360" w:lineRule="auto"/>
        <w:rPr>
          <w:rFonts w:ascii="方正兰亭黑简体" w:hAnsi="方正兰亭黑简体" w:eastAsia="方正兰亭黑简体" w:cs="Arial"/>
          <w:sz w:val="10"/>
          <w:shd w:val="clear" w:color="auto" w:fill="0D3C96"/>
        </w:rPr>
      </w:pPr>
      <w:r>
        <w:rPr>
          <w:rFonts w:ascii="方正兰亭黑简体" w:hAnsi="方正兰亭黑简体" w:eastAsia="方正兰亭黑简体" w:cs="Arial"/>
          <w:sz w:val="1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253365</wp:posOffset>
                </wp:positionV>
                <wp:extent cx="5143500" cy="72390"/>
                <wp:effectExtent l="0" t="0" r="0" b="3810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43500" cy="72483"/>
                        </a:xfrm>
                        <a:prstGeom prst="rect">
                          <a:avLst/>
                        </a:prstGeom>
                        <a:solidFill>
                          <a:srgbClr val="1E6FB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0.15pt;margin-top:19.95pt;height:5.7pt;width:405pt;z-index:251661312;v-text-anchor:middle;mso-width-relative:page;mso-height-relative:page;" fillcolor="#1E6FB8" filled="t" stroked="f" coordsize="21600,21600" o:gfxdata="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>
      <w:pPr>
        <w:spacing w:line="360" w:lineRule="auto"/>
        <w:ind w:firstLine="0" w:firstLineChars="0"/>
        <w:rPr>
          <w:rFonts w:ascii="方正兰亭黑简体" w:hAnsi="方正兰亭黑简体" w:eastAsia="方正兰亭黑简体" w:cs="Arial"/>
          <w:b/>
          <w:bCs/>
          <w:sz w:val="28"/>
          <w:szCs w:val="28"/>
        </w:rPr>
      </w:pPr>
      <w:r>
        <w:rPr>
          <w:rFonts w:hint="eastAsia" w:ascii="方正兰亭黑简体" w:hAnsi="方正兰亭黑简体" w:eastAsia="方正兰亭黑简体" w:cs="Arial"/>
          <w:b/>
          <w:bCs/>
          <w:sz w:val="28"/>
          <w:szCs w:val="28"/>
        </w:rPr>
        <w:t>文档控制</w:t>
      </w:r>
    </w:p>
    <w:p>
      <w:pPr>
        <w:spacing w:line="360" w:lineRule="auto"/>
        <w:rPr>
          <w:rFonts w:ascii="方正兰亭黑简体" w:hAnsi="方正兰亭黑简体" w:eastAsia="方正兰亭黑简体" w:cs="Arial"/>
          <w:b/>
          <w:bCs/>
          <w:sz w:val="28"/>
          <w:szCs w:val="28"/>
        </w:rPr>
      </w:pPr>
      <w:r>
        <w:rPr>
          <w:rFonts w:ascii="方正兰亭黑简体" w:hAnsi="方正兰亭黑简体" w:eastAsia="方正兰亭黑简体" w:cs="Arial"/>
          <w:sz w:val="1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985520" cy="45720"/>
                <wp:effectExtent l="0" t="0" r="5080" b="5715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5520" cy="45719"/>
                        </a:xfrm>
                        <a:prstGeom prst="rect">
                          <a:avLst/>
                        </a:prstGeom>
                        <a:solidFill>
                          <a:srgbClr val="1E6FB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0pt;margin-top:17.4pt;height:3.6pt;width:77.6pt;z-index:251662336;v-text-anchor:middle;mso-width-relative:page;mso-height-relative:page;" fillcolor="#1E6FB8" filled="t" stroked="f" coordsize="21600,21600" o:gfxdata="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">
                <v:fill on="t" focussize="0,0"/>
                <v:stroke on="f" weight="2pt"/>
                <v:imagedata o:title=""/>
                <o:lock v:ext="edit" aspectratio="f"/>
              </v:rect>
            </w:pict>
          </mc:Fallback>
        </mc:AlternateContent>
      </w:r>
    </w:p>
    <w:p>
      <w:pPr>
        <w:spacing w:line="360" w:lineRule="auto"/>
        <w:ind w:firstLine="0" w:firstLineChars="0"/>
        <w:rPr>
          <w:rFonts w:ascii="方正兰亭黑简体" w:hAnsi="方正兰亭黑简体" w:eastAsia="方正兰亭黑简体" w:cs="Arial"/>
          <w:b/>
          <w:bCs/>
          <w:sz w:val="28"/>
          <w:szCs w:val="28"/>
        </w:rPr>
      </w:pPr>
      <w:r>
        <w:rPr>
          <w:rFonts w:hint="eastAsia" w:ascii="方正兰亭黑简体" w:hAnsi="方正兰亭黑简体" w:eastAsia="方正兰亭黑简体" w:cs="Arial"/>
          <w:b/>
          <w:bCs/>
          <w:sz w:val="28"/>
          <w:szCs w:val="28"/>
        </w:rPr>
        <w:t>修改记录</w:t>
      </w:r>
    </w:p>
    <w:p>
      <w:pPr>
        <w:spacing w:line="360" w:lineRule="auto"/>
        <w:ind w:firstLine="493"/>
        <w:rPr>
          <w:rFonts w:ascii="方正兰亭黑简体" w:hAnsi="方正兰亭黑简体" w:eastAsia="方正兰亭黑简体" w:cs="Arial"/>
          <w:b/>
          <w:bCs/>
          <w:sz w:val="24"/>
          <w:szCs w:val="24"/>
        </w:rPr>
      </w:pPr>
    </w:p>
    <w:tbl>
      <w:tblPr>
        <w:tblStyle w:val="19"/>
        <w:tblW w:w="8378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1701"/>
        <w:gridCol w:w="1417"/>
        <w:gridCol w:w="1134"/>
        <w:gridCol w:w="25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BEBEBE" w:themeFill="background1" w:themeFillShade="BF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b/>
                <w:bCs/>
                <w:szCs w:val="21"/>
              </w:rPr>
            </w:pPr>
            <w:r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</w:rPr>
              <w:t>日期</w:t>
            </w:r>
          </w:p>
        </w:tc>
        <w:tc>
          <w:tcPr>
            <w:tcW w:w="1701" w:type="dxa"/>
            <w:shd w:val="clear" w:color="auto" w:fill="BEBEBE" w:themeFill="background1" w:themeFillShade="BF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b/>
                <w:bCs/>
                <w:szCs w:val="21"/>
              </w:rPr>
            </w:pPr>
            <w:r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</w:rPr>
              <w:t>作者</w:t>
            </w:r>
          </w:p>
        </w:tc>
        <w:tc>
          <w:tcPr>
            <w:tcW w:w="1417" w:type="dxa"/>
            <w:shd w:val="clear" w:color="auto" w:fill="BEBEBE" w:themeFill="background1" w:themeFillShade="BF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b/>
                <w:bCs/>
                <w:szCs w:val="21"/>
              </w:rPr>
            </w:pPr>
            <w:r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</w:rPr>
              <w:t>版本</w:t>
            </w:r>
          </w:p>
        </w:tc>
        <w:tc>
          <w:tcPr>
            <w:tcW w:w="1134" w:type="dxa"/>
            <w:shd w:val="clear" w:color="auto" w:fill="BEBEBE" w:themeFill="background1" w:themeFillShade="BF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b/>
                <w:bCs/>
                <w:szCs w:val="21"/>
              </w:rPr>
            </w:pPr>
            <w:r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</w:rPr>
              <w:t>状态</w:t>
            </w:r>
          </w:p>
        </w:tc>
        <w:tc>
          <w:tcPr>
            <w:tcW w:w="2566" w:type="dxa"/>
            <w:shd w:val="clear" w:color="auto" w:fill="BEBEBE" w:themeFill="background1" w:themeFillShade="BF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b/>
                <w:bCs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" w:hRule="atLeast"/>
        </w:trPr>
        <w:tc>
          <w:tcPr>
            <w:tcW w:w="1560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20220905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肖宇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1.0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新订</w:t>
            </w:r>
          </w:p>
        </w:tc>
        <w:tc>
          <w:tcPr>
            <w:tcW w:w="2566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完成迁移方案模板编写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560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20220914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肖宇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1.1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eastAsia" w:ascii="方正兰亭黑简体" w:hAnsi="方正兰亭黑简体" w:eastAsia="方正兰亭黑简体" w:cs="Aria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修改</w:t>
            </w:r>
          </w:p>
        </w:tc>
        <w:tc>
          <w:tcPr>
            <w:tcW w:w="2566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hint="default" w:ascii="方正兰亭黑简体" w:hAnsi="方正兰亭黑简体" w:eastAsia="方正兰亭黑简体" w:cs="Arial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Arial"/>
                <w:szCs w:val="21"/>
                <w:lang w:val="en-US" w:eastAsia="zh-CN"/>
              </w:rPr>
              <w:t>新增回退判断条件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5" w:hRule="atLeast"/>
        </w:trPr>
        <w:tc>
          <w:tcPr>
            <w:tcW w:w="1560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szCs w:val="21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szCs w:val="21"/>
              </w:rPr>
            </w:pPr>
          </w:p>
        </w:tc>
        <w:tc>
          <w:tcPr>
            <w:tcW w:w="2566" w:type="dxa"/>
            <w:vAlign w:val="center"/>
          </w:tcPr>
          <w:p>
            <w:pPr>
              <w:spacing w:line="360" w:lineRule="auto"/>
              <w:ind w:firstLine="0" w:firstLineChars="0"/>
              <w:jc w:val="center"/>
              <w:rPr>
                <w:rFonts w:ascii="方正兰亭黑简体" w:hAnsi="方正兰亭黑简体" w:eastAsia="方正兰亭黑简体" w:cs="Arial"/>
                <w:szCs w:val="21"/>
              </w:rPr>
            </w:pPr>
          </w:p>
        </w:tc>
      </w:tr>
    </w:tbl>
    <w:p>
      <w:pPr>
        <w:tabs>
          <w:tab w:val="center" w:pos="4153"/>
          <w:tab w:val="left" w:pos="4720"/>
        </w:tabs>
        <w:ind w:firstLine="0" w:firstLineChars="0"/>
        <w:jc w:val="left"/>
        <w:rPr>
          <w:rFonts w:ascii="方正兰亭黑简体" w:hAnsi="方正兰亭黑简体" w:eastAsia="方正兰亭黑简体"/>
          <w:szCs w:val="21"/>
        </w:rPr>
      </w:pPr>
      <w:r>
        <w:rPr>
          <w:rFonts w:hint="eastAsia" w:ascii="方正兰亭黑简体" w:hAnsi="方正兰亭黑简体" w:eastAsia="方正兰亭黑简体"/>
          <w:szCs w:val="21"/>
        </w:rPr>
        <w:t>文档修改状态包含新订、修改、删除</w:t>
      </w:r>
    </w:p>
    <w:p>
      <w:pPr>
        <w:pStyle w:val="55"/>
        <w:bidi w:val="0"/>
        <w:ind w:left="0" w:leftChars="0" w:firstLine="422" w:firstLineChars="200"/>
        <w:rPr>
          <w:rFonts w:hint="eastAsia" w:ascii="方正兰亭黑简体" w:hAnsi="方正兰亭黑简体" w:eastAsia="方正兰亭黑简体" w:cs="方正兰亭黑简体"/>
          <w:b/>
          <w:bCs/>
          <w:color w:val="FF0000"/>
          <w:lang w:val="en-US" w:eastAsia="zh-CN"/>
        </w:rPr>
      </w:pPr>
      <w:bookmarkStart w:id="24" w:name="_GoBack"/>
      <w:r>
        <w:rPr>
          <w:rFonts w:hint="eastAsia" w:ascii="方正兰亭黑简体" w:hAnsi="方正兰亭黑简体" w:eastAsia="方正兰亭黑简体" w:cs="方正兰亭黑简体"/>
          <w:b/>
          <w:bCs/>
          <w:color w:val="FF0000"/>
          <w:lang w:val="en-US" w:eastAsia="zh-CN"/>
        </w:rPr>
        <w:t>文中所有红色字体，意在标注需修改内容，修改完成正式版本后，需要</w:t>
      </w:r>
      <w:r>
        <w:rPr>
          <w:rFonts w:hint="eastAsia" w:ascii="方正兰亭黑简体" w:hAnsi="方正兰亭黑简体" w:eastAsia="方正兰亭黑简体" w:cs="方正兰亭黑简体"/>
          <w:b/>
          <w:bCs/>
          <w:color w:val="FF0000"/>
          <w:lang w:val="en-US" w:eastAsia="zh-CN"/>
        </w:rPr>
        <w:t>对红色标注内容进行修改和删除，再提交给到客户</w:t>
      </w:r>
      <w:r>
        <w:rPr>
          <w:rFonts w:hint="eastAsia" w:ascii="方正兰亭黑简体" w:hAnsi="方正兰亭黑简体" w:eastAsia="方正兰亭黑简体" w:cs="方正兰亭黑简体"/>
          <w:b/>
          <w:bCs/>
          <w:color w:val="FF0000"/>
          <w:lang w:val="en-US" w:eastAsia="zh-CN"/>
        </w:rPr>
        <w:t>；</w:t>
      </w:r>
    </w:p>
    <w:bookmarkEnd w:id="24"/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</w:pPr>
    </w:p>
    <w:p>
      <w:pPr>
        <w:ind w:firstLine="0" w:firstLineChars="0"/>
        <w:rPr>
          <w:rFonts w:ascii="方正兰亭黑简体" w:hAnsi="方正兰亭黑简体" w:eastAsia="方正兰亭黑简体"/>
        </w:rPr>
        <w:sectPr>
          <w:footerReference r:id="rId11" w:type="default"/>
          <w:pgSz w:w="11906" w:h="16838"/>
          <w:pgMar w:top="1440" w:right="1800" w:bottom="1440" w:left="1800" w:header="964" w:footer="907" w:gutter="0"/>
          <w:cols w:space="425" w:num="1"/>
          <w:docGrid w:type="lines" w:linePitch="312" w:charSpace="0"/>
        </w:sectPr>
      </w:pPr>
    </w:p>
    <w:sdt>
      <w:sdtPr>
        <w:rPr>
          <w:rFonts w:ascii="方正兰亭黑简体" w:hAnsi="方正兰亭黑简体" w:eastAsiaTheme="minorEastAsia" w:cstheme="minorBidi"/>
          <w:b w:val="0"/>
          <w:bCs w:val="0"/>
          <w:color w:val="auto"/>
          <w:kern w:val="2"/>
          <w:sz w:val="21"/>
          <w:szCs w:val="22"/>
          <w:lang w:val="zh-CN"/>
        </w:rPr>
        <w:id w:val="33392680"/>
        <w:docPartObj>
          <w:docPartGallery w:val="Table of Contents"/>
          <w:docPartUnique/>
        </w:docPartObj>
      </w:sdtPr>
      <w:sdtEndPr>
        <w:rPr>
          <w:rFonts w:ascii="方正兰亭黑简体" w:hAnsi="方正兰亭黑简体" w:eastAsiaTheme="minorEastAsia" w:cstheme="minorBidi"/>
          <w:b w:val="0"/>
          <w:bCs w:val="0"/>
          <w:color w:val="auto"/>
          <w:kern w:val="2"/>
          <w:sz w:val="21"/>
          <w:szCs w:val="22"/>
          <w:lang w:val="en-US"/>
        </w:rPr>
      </w:sdtEndPr>
      <w:sdtContent>
        <w:p>
          <w:pPr>
            <w:pStyle w:val="31"/>
            <w:rPr>
              <w:rFonts w:ascii="方正兰亭黑简体" w:hAnsi="方正兰亭黑简体"/>
            </w:rPr>
          </w:pPr>
          <w:r>
            <w:rPr>
              <w:rFonts w:ascii="方正兰亭黑简体" w:hAnsi="方正兰亭黑简体"/>
            </w:rPr>
            <w:t>目录</w:t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</w:rPr>
            <w:instrText xml:space="preserve"> TOC \o "1-4" \h \z \u </w:instrText>
          </w:r>
          <w:r>
            <w:rPr>
              <w:rFonts w:hint="eastAsia" w:ascii="方正兰亭黑简体" w:hAnsi="方正兰亭黑简体" w:eastAsia="方正兰亭黑简体" w:cs="方正兰亭黑简体"/>
            </w:rPr>
            <w:fldChar w:fldCharType="separate"/>
          </w:r>
          <w:r>
            <w:rPr>
              <w:rFonts w:hint="eastAsia" w:ascii="方正兰亭黑简体" w:hAnsi="方正兰亭黑简体" w:eastAsia="方正兰亭黑简体" w:cs="方正兰亭黑简体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</w:rPr>
            <w:instrText xml:space="preserve"> HYPERLINK \l _Toc3848 </w:instrText>
          </w:r>
          <w:r>
            <w:rPr>
              <w:rFonts w:hint="eastAsia" w:ascii="方正兰亭黑简体" w:hAnsi="方正兰亭黑简体" w:eastAsia="方正兰亭黑简体" w:cs="方正兰亭黑简体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第1章 </w:t>
          </w:r>
          <w:r>
            <w:rPr>
              <w:rFonts w:hint="eastAsia" w:ascii="方正兰亭黑简体" w:hAnsi="方正兰亭黑简体"/>
              <w:lang w:val="en-US" w:eastAsia="zh-CN"/>
            </w:rPr>
            <w:t>背景介绍</w:t>
          </w:r>
          <w:r>
            <w:tab/>
          </w:r>
          <w:r>
            <w:fldChar w:fldCharType="begin"/>
          </w:r>
          <w:r>
            <w:instrText xml:space="preserve"> PAGEREF _Toc3848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_Toc28859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1.1 </w:t>
          </w:r>
          <w:r>
            <w:rPr>
              <w:rFonts w:hint="eastAsia" w:ascii="方正兰亭黑简体" w:hAnsi="方正兰亭黑简体"/>
              <w:szCs w:val="24"/>
              <w:lang w:val="en-US" w:eastAsia="zh-CN"/>
            </w:rPr>
            <w:t>环境介绍</w:t>
          </w:r>
          <w:r>
            <w:tab/>
          </w:r>
          <w:r>
            <w:fldChar w:fldCharType="begin"/>
          </w:r>
          <w:r>
            <w:instrText xml:space="preserve"> PAGEREF _Toc28859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_Toc19160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1.2 </w:t>
          </w:r>
          <w:r>
            <w:rPr>
              <w:rFonts w:hint="eastAsia" w:ascii="方正兰亭黑简体" w:hAnsi="方正兰亭黑简体"/>
              <w:szCs w:val="24"/>
              <w:lang w:val="en-US" w:eastAsia="zh-CN"/>
            </w:rPr>
            <w:t>迁移目的</w:t>
          </w:r>
          <w:r>
            <w:tab/>
          </w:r>
          <w:r>
            <w:fldChar w:fldCharType="begin"/>
          </w:r>
          <w:r>
            <w:instrText xml:space="preserve"> PAGEREF _Toc19160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_Toc19218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1.3 </w:t>
          </w:r>
          <w:r>
            <w:rPr>
              <w:rFonts w:hint="eastAsia" w:ascii="方正兰亭黑简体" w:hAnsi="方正兰亭黑简体"/>
              <w:szCs w:val="24"/>
              <w:lang w:val="en-US" w:eastAsia="zh-CN"/>
            </w:rPr>
            <w:t>迁移对象</w:t>
          </w:r>
          <w:r>
            <w:tab/>
          </w:r>
          <w:r>
            <w:fldChar w:fldCharType="begin"/>
          </w:r>
          <w:r>
            <w:instrText xml:space="preserve"> PAGEREF _Toc19218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_Toc14884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1.4 </w:t>
          </w:r>
          <w:r>
            <w:rPr>
              <w:rFonts w:hint="eastAsia" w:ascii="方正兰亭黑简体" w:hAnsi="方正兰亭黑简体"/>
              <w:szCs w:val="24"/>
              <w:lang w:val="en-US" w:eastAsia="zh-CN"/>
            </w:rPr>
            <w:t>迁移时间</w:t>
          </w:r>
          <w:r>
            <w:tab/>
          </w:r>
          <w:r>
            <w:fldChar w:fldCharType="begin"/>
          </w:r>
          <w:r>
            <w:instrText xml:space="preserve"> PAGEREF _Toc14884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_Toc2910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第2章 </w:t>
          </w:r>
          <w:r>
            <w:rPr>
              <w:rFonts w:hint="eastAsia" w:ascii="方正兰亭黑简体" w:hAnsi="方正兰亭黑简体"/>
              <w:lang w:val="en-US" w:eastAsia="zh-CN"/>
            </w:rPr>
            <w:t>迁移前准备</w:t>
          </w:r>
          <w:r>
            <w:tab/>
          </w:r>
          <w:r>
            <w:fldChar w:fldCharType="begin"/>
          </w:r>
          <w:r>
            <w:instrText xml:space="preserve"> PAGEREF _Toc2910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_Toc13135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2.1 </w:t>
          </w:r>
          <w:r>
            <w:rPr>
              <w:rFonts w:hint="eastAsia"/>
              <w:lang w:val="en-US" w:eastAsia="zh-CN"/>
            </w:rPr>
            <w:t>材料准备</w:t>
          </w:r>
          <w:r>
            <w:tab/>
          </w:r>
          <w:r>
            <w:fldChar w:fldCharType="begin"/>
          </w:r>
          <w:r>
            <w:instrText xml:space="preserve"> PAGEREF _Toc13135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_Toc17364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2.2 </w:t>
          </w:r>
          <w:r>
            <w:rPr>
              <w:rFonts w:hint="eastAsia"/>
              <w:lang w:val="en-US" w:eastAsia="zh-CN"/>
            </w:rPr>
            <w:t>参与人员</w:t>
          </w:r>
          <w:r>
            <w:tab/>
          </w:r>
          <w:r>
            <w:fldChar w:fldCharType="begin"/>
          </w:r>
          <w:r>
            <w:instrText xml:space="preserve"> PAGEREF _Toc17364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_Toc10153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  <w:lang w:val="en-US" w:eastAsia="zh-CN"/>
            </w:rPr>
            <w:t xml:space="preserve">2.3 </w:t>
          </w:r>
          <w:r>
            <w:rPr>
              <w:rFonts w:hint="eastAsia"/>
              <w:lang w:val="en-US" w:eastAsia="zh-CN"/>
            </w:rPr>
            <w:t>迁移思路</w:t>
          </w:r>
          <w:r>
            <w:tab/>
          </w:r>
          <w:r>
            <w:fldChar w:fldCharType="begin"/>
          </w:r>
          <w:r>
            <w:instrText xml:space="preserve"> PAGEREF _Toc10153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_Toc28841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第3章 </w:t>
          </w:r>
          <w:r>
            <w:rPr>
              <w:rFonts w:hint="eastAsia" w:ascii="方正兰亭黑简体" w:hAnsi="方正兰亭黑简体"/>
              <w:lang w:val="en-US" w:eastAsia="zh-CN"/>
            </w:rPr>
            <w:t>迁移影响</w:t>
          </w:r>
          <w:r>
            <w:tab/>
          </w:r>
          <w:r>
            <w:fldChar w:fldCharType="begin"/>
          </w:r>
          <w:r>
            <w:instrText xml:space="preserve"> PAGEREF _Toc28841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_Toc23066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第4章 </w:t>
          </w:r>
          <w:r>
            <w:rPr>
              <w:rFonts w:hint="eastAsia" w:ascii="方正兰亭黑简体" w:hAnsi="方正兰亭黑简体"/>
              <w:lang w:val="en-US" w:eastAsia="zh-CN"/>
            </w:rPr>
            <w:t>迁移步骤</w:t>
          </w:r>
          <w:r>
            <w:tab/>
          </w:r>
          <w:r>
            <w:fldChar w:fldCharType="begin"/>
          </w:r>
          <w:r>
            <w:instrText xml:space="preserve"> PAGEREF _Toc23066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_Toc10917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4.1 </w:t>
          </w:r>
          <w:r>
            <w:rPr>
              <w:rFonts w:hint="eastAsia"/>
              <w:lang w:val="en-US" w:eastAsia="zh-CN"/>
            </w:rPr>
            <w:t>迁移</w:t>
          </w:r>
          <w:r>
            <w:rPr>
              <w:rFonts w:hint="eastAsia"/>
            </w:rPr>
            <w:t>前业务验证</w:t>
          </w:r>
          <w:r>
            <w:tab/>
          </w:r>
          <w:r>
            <w:fldChar w:fldCharType="begin"/>
          </w:r>
          <w:r>
            <w:instrText xml:space="preserve"> PAGEREF _Toc10917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_Toc17372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4.2 </w:t>
          </w:r>
          <w:r>
            <w:rPr>
              <w:rFonts w:hint="eastAsia"/>
              <w:lang w:val="en-US" w:eastAsia="zh-CN"/>
            </w:rPr>
            <w:t>迁移</w:t>
          </w:r>
          <w:r>
            <w:rPr>
              <w:rFonts w:hint="eastAsia"/>
            </w:rPr>
            <w:t>前设备状态</w:t>
          </w:r>
          <w:r>
            <w:tab/>
          </w:r>
          <w:r>
            <w:fldChar w:fldCharType="begin"/>
          </w:r>
          <w:r>
            <w:instrText xml:space="preserve"> PAGEREF _Toc17372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_Toc865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4.3 </w:t>
          </w:r>
          <w:r>
            <w:rPr>
              <w:rFonts w:hint="eastAsia"/>
              <w:lang w:val="en-US" w:eastAsia="zh-CN"/>
            </w:rPr>
            <w:t>迁移</w:t>
          </w:r>
          <w:r>
            <w:rPr>
              <w:rFonts w:hint="eastAsia"/>
            </w:rPr>
            <w:t>前配置备份</w:t>
          </w:r>
          <w:r>
            <w:tab/>
          </w:r>
          <w:r>
            <w:fldChar w:fldCharType="begin"/>
          </w:r>
          <w:r>
            <w:instrText xml:space="preserve"> PAGEREF _Toc865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_Toc24645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4.4 </w:t>
          </w:r>
          <w:r>
            <w:rPr>
              <w:rFonts w:hint="eastAsia"/>
              <w:lang w:val="en-US" w:eastAsia="zh-CN"/>
            </w:rPr>
            <w:t>迁移</w:t>
          </w:r>
          <w:r>
            <w:rPr>
              <w:rFonts w:hint="eastAsia"/>
            </w:rPr>
            <w:t>详细步骤</w:t>
          </w:r>
          <w:r>
            <w:tab/>
          </w:r>
          <w:r>
            <w:fldChar w:fldCharType="begin"/>
          </w:r>
          <w:r>
            <w:instrText xml:space="preserve"> PAGEREF _Toc24645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_Toc119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</w:rPr>
            <w:t xml:space="preserve">4.5 </w:t>
          </w:r>
          <w:r>
            <w:rPr>
              <w:rFonts w:hint="eastAsia"/>
              <w:lang w:val="en-US" w:eastAsia="zh-CN"/>
            </w:rPr>
            <w:t>迁移操作截图</w:t>
          </w:r>
          <w:r>
            <w:tab/>
          </w:r>
          <w:r>
            <w:fldChar w:fldCharType="begin"/>
          </w:r>
          <w:r>
            <w:instrText xml:space="preserve"> PAGEREF _Toc119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_Toc8117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第5章 </w:t>
          </w:r>
          <w:r>
            <w:rPr>
              <w:rFonts w:hint="eastAsia" w:ascii="方正兰亭黑简体" w:hAnsi="方正兰亭黑简体"/>
              <w:lang w:val="en-US" w:eastAsia="zh-CN"/>
            </w:rPr>
            <w:t>迁移后验证</w:t>
          </w:r>
          <w:r>
            <w:tab/>
          </w:r>
          <w:r>
            <w:fldChar w:fldCharType="begin"/>
          </w:r>
          <w:r>
            <w:instrText xml:space="preserve"> PAGEREF _Toc8117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_Toc5420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  <w:lang w:val="en-US" w:eastAsia="zh-CN"/>
            </w:rPr>
            <w:t xml:space="preserve">5.1 </w:t>
          </w:r>
          <w:r>
            <w:rPr>
              <w:rFonts w:hint="eastAsia"/>
              <w:lang w:val="en-US" w:eastAsia="zh-CN"/>
            </w:rPr>
            <w:t>业务状态验证</w:t>
          </w:r>
          <w:r>
            <w:tab/>
          </w:r>
          <w:r>
            <w:fldChar w:fldCharType="begin"/>
          </w:r>
          <w:r>
            <w:instrText xml:space="preserve"> PAGEREF _Toc5420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8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_Toc804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default" w:ascii="方正兰亭黑简体" w:hAnsi="方正兰亭黑简体" w:eastAsia="方正兰亭黑简体"/>
              <w:i w:val="0"/>
              <w:szCs w:val="24"/>
              <w:lang w:val="en-US" w:eastAsia="zh-CN"/>
            </w:rPr>
            <w:t xml:space="preserve">5.2 </w:t>
          </w:r>
          <w:r>
            <w:rPr>
              <w:rFonts w:hint="eastAsia"/>
              <w:lang w:val="en-US" w:eastAsia="zh-CN"/>
            </w:rPr>
            <w:t>设备状态验证</w:t>
          </w:r>
          <w:r>
            <w:tab/>
          </w:r>
          <w:r>
            <w:fldChar w:fldCharType="begin"/>
          </w:r>
          <w:r>
            <w:instrText xml:space="preserve"> PAGEREF _Toc804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_Toc13909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第6章 </w:t>
          </w:r>
          <w:r>
            <w:rPr>
              <w:rFonts w:hint="eastAsia" w:ascii="方正兰亭黑简体" w:hAnsi="方正兰亭黑简体"/>
              <w:lang w:val="en-US" w:eastAsia="zh-CN"/>
            </w:rPr>
            <w:t>注意事项</w:t>
          </w:r>
          <w:r>
            <w:tab/>
          </w:r>
          <w:r>
            <w:fldChar w:fldCharType="begin"/>
          </w:r>
          <w:r>
            <w:instrText xml:space="preserve"> PAGEREF _Toc13909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_Toc11491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第7章 </w:t>
          </w:r>
          <w:r>
            <w:rPr>
              <w:rFonts w:hint="eastAsia" w:ascii="方正兰亭黑简体" w:hAnsi="方正兰亭黑简体"/>
              <w:lang w:val="en-US" w:eastAsia="zh-CN"/>
            </w:rPr>
            <w:t>回退方案</w:t>
          </w:r>
          <w:r>
            <w:tab/>
          </w:r>
          <w:r>
            <w:fldChar w:fldCharType="begin"/>
          </w:r>
          <w:r>
            <w:instrText xml:space="preserve"> PAGEREF _Toc11491 \h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pStyle w:val="16"/>
            <w:tabs>
              <w:tab w:val="right" w:leader="dot" w:pos="8306"/>
            </w:tabs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begin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instrText xml:space="preserve"> HYPERLINK \l _Toc17037 </w:instrText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separate"/>
          </w:r>
          <w:r>
            <w:rPr>
              <w:rFonts w:hint="eastAsia" w:ascii="方正兰亭黑简体" w:hAnsi="方正兰亭黑简体" w:eastAsia="方正兰亭黑简体"/>
              <w:i w:val="0"/>
            </w:rPr>
            <w:t xml:space="preserve">第8章 </w:t>
          </w:r>
          <w:r>
            <w:rPr>
              <w:rFonts w:hint="eastAsia" w:ascii="方正兰亭黑简体" w:hAnsi="方正兰亭黑简体"/>
              <w:lang w:val="en-US" w:eastAsia="zh-CN"/>
            </w:rPr>
            <w:t>迁移后值守</w:t>
          </w:r>
          <w:r>
            <w:tab/>
          </w:r>
          <w:r>
            <w:fldChar w:fldCharType="begin"/>
          </w:r>
          <w:r>
            <w:instrText xml:space="preserve"> PAGEREF _Toc17037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  <w:p>
          <w:pPr>
            <w:ind w:firstLine="440"/>
            <w:rPr>
              <w:rFonts w:ascii="方正兰亭黑简体" w:hAnsi="方正兰亭黑简体" w:eastAsia="方正兰亭黑简体"/>
            </w:rPr>
            <w:sectPr>
              <w:footerReference r:id="rId12" w:type="default"/>
              <w:pgSz w:w="11906" w:h="16838"/>
              <w:pgMar w:top="1440" w:right="1800" w:bottom="1440" w:left="1800" w:header="964" w:footer="907" w:gutter="0"/>
              <w:pgNumType w:fmt="lowerRoman" w:start="1"/>
              <w:cols w:space="425" w:num="1"/>
              <w:docGrid w:type="lines" w:linePitch="312" w:charSpace="0"/>
            </w:sectPr>
          </w:pPr>
          <w:r>
            <w:rPr>
              <w:rFonts w:hint="eastAsia" w:ascii="方正兰亭黑简体" w:hAnsi="方正兰亭黑简体" w:eastAsia="方正兰亭黑简体" w:cs="方正兰亭黑简体"/>
              <w:caps/>
              <w:szCs w:val="21"/>
            </w:rPr>
            <w:fldChar w:fldCharType="end"/>
          </w:r>
        </w:p>
      </w:sdtContent>
    </w:sdt>
    <w:p>
      <w:pPr>
        <w:pStyle w:val="2"/>
        <w:rPr>
          <w:rFonts w:ascii="方正兰亭黑简体" w:hAnsi="方正兰亭黑简体"/>
        </w:rPr>
      </w:pPr>
      <w:bookmarkStart w:id="0" w:name="_Toc3848"/>
      <w:r>
        <w:rPr>
          <w:rFonts w:hint="eastAsia" w:ascii="方正兰亭黑简体" w:hAnsi="方正兰亭黑简体"/>
          <w:lang w:val="en-US" w:eastAsia="zh-CN"/>
        </w:rPr>
        <w:t>背景介绍</w:t>
      </w:r>
      <w:bookmarkEnd w:id="0"/>
    </w:p>
    <w:p>
      <w:pPr>
        <w:pStyle w:val="3"/>
        <w:rPr>
          <w:rFonts w:ascii="方正兰亭黑简体" w:hAnsi="方正兰亭黑简体"/>
          <w:szCs w:val="24"/>
        </w:rPr>
      </w:pPr>
      <w:bookmarkStart w:id="1" w:name="_Toc28859"/>
      <w:r>
        <w:rPr>
          <w:rFonts w:hint="eastAsia" w:ascii="方正兰亭黑简体" w:hAnsi="方正兰亭黑简体"/>
          <w:szCs w:val="24"/>
          <w:lang w:val="en-US" w:eastAsia="zh-CN"/>
        </w:rPr>
        <w:t>环境介绍</w:t>
      </w:r>
      <w:bookmarkEnd w:id="1"/>
    </w:p>
    <w:p>
      <w:pPr>
        <w:pStyle w:val="55"/>
        <w:bidi w:val="0"/>
        <w:spacing w:line="240" w:lineRule="auto"/>
        <w:ind w:firstLine="420" w:firstLineChars="200"/>
        <w:rPr>
          <w:rFonts w:hint="default"/>
          <w:lang w:val="en-US"/>
        </w:rPr>
      </w:pPr>
      <w:r>
        <w:rPr>
          <w:rFonts w:hint="eastAsia" w:ascii="方正兰亭黑简体" w:hAnsi="方正兰亭黑简体" w:eastAsia="方正兰亭黑简体" w:cs="方正兰亭黑简体"/>
          <w:color w:val="FF0000"/>
          <w:highlight w:val="none"/>
          <w:lang w:val="en-US" w:eastAsia="zh-CN"/>
        </w:rPr>
        <w:t>此处可以按照客户处实际环境内容进行阐述，并贴上对应的拓扑图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t>XX</w:t>
      </w: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X客户总部现有一台NAC-6300（以下简称旧中心端）。同时3个分支分别部署3台NAC-6100，通过集结号2.0管理模式加入到总部NAC-6300中心端。旧中心端与分支平台都激活了AP。无线网络为集中认证、本地转发。现总部新采购了一台NMC-8820（以下简称新中心端），需要将3个分支控制器及所有AP都迁移至新中心端。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drawing>
          <wp:inline distT="0" distB="0" distL="114300" distR="114300">
            <wp:extent cx="5273040" cy="2733040"/>
            <wp:effectExtent l="0" t="0" r="10160" b="10160"/>
            <wp:docPr id="35" name="图片 35" descr="1662367647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166236764719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rPr>
          <w:rFonts w:ascii="方正兰亭黑简体" w:hAnsi="方正兰亭黑简体"/>
          <w:szCs w:val="24"/>
        </w:rPr>
      </w:pPr>
      <w:bookmarkStart w:id="2" w:name="_Toc19160"/>
      <w:r>
        <w:rPr>
          <w:rFonts w:hint="eastAsia" w:ascii="方正兰亭黑简体" w:hAnsi="方正兰亭黑简体"/>
          <w:szCs w:val="24"/>
          <w:lang w:val="en-US" w:eastAsia="zh-CN"/>
        </w:rPr>
        <w:t>迁移目的</w:t>
      </w:r>
      <w:bookmarkEnd w:id="2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后期需要新增较多分支控制器，总部中心端控制器硬件资源不足，需要替换成硬件型号更高的设备。同时新增的分支控制器版本都是最新的，旧中心端需要进行升级操作。</w:t>
      </w: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旧中心端版本由NAC3.8.2.0升级至NMC3.9.0 R1，同时旧分支控制器也需要升级至NAC390R1版本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pStyle w:val="3"/>
        <w:rPr>
          <w:rFonts w:ascii="方正兰亭黑简体" w:hAnsi="方正兰亭黑简体"/>
          <w:szCs w:val="24"/>
        </w:rPr>
      </w:pPr>
      <w:bookmarkStart w:id="3" w:name="_Toc19218"/>
      <w:r>
        <w:rPr>
          <w:rFonts w:hint="eastAsia" w:ascii="方正兰亭黑简体" w:hAnsi="方正兰亭黑简体"/>
          <w:szCs w:val="24"/>
          <w:lang w:val="en-US" w:eastAsia="zh-CN"/>
        </w:rPr>
        <w:t>迁移对象</w:t>
      </w:r>
      <w:bookmarkEnd w:id="3"/>
    </w:p>
    <w:tbl>
      <w:tblPr>
        <w:tblStyle w:val="19"/>
        <w:tblW w:w="925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8"/>
        <w:gridCol w:w="1381"/>
        <w:gridCol w:w="1190"/>
        <w:gridCol w:w="1928"/>
        <w:gridCol w:w="1917"/>
        <w:gridCol w:w="16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218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设备名称</w:t>
            </w:r>
          </w:p>
        </w:tc>
        <w:tc>
          <w:tcPr>
            <w:tcW w:w="1381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设备型号</w:t>
            </w:r>
          </w:p>
        </w:tc>
        <w:tc>
          <w:tcPr>
            <w:tcW w:w="1190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管理AP数</w:t>
            </w:r>
          </w:p>
        </w:tc>
        <w:tc>
          <w:tcPr>
            <w:tcW w:w="1928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IP地址</w:t>
            </w:r>
          </w:p>
        </w:tc>
        <w:tc>
          <w:tcPr>
            <w:tcW w:w="1917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当前版本</w:t>
            </w:r>
          </w:p>
        </w:tc>
        <w:tc>
          <w:tcPr>
            <w:tcW w:w="1619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迁移后版本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8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旧中心端</w:t>
            </w:r>
          </w:p>
        </w:tc>
        <w:tc>
          <w:tcPr>
            <w:tcW w:w="13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NAC-6300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19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10.1.1.250</w:t>
            </w:r>
          </w:p>
        </w:tc>
        <w:tc>
          <w:tcPr>
            <w:tcW w:w="1917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NAC3.8.2.0</w:t>
            </w:r>
          </w:p>
        </w:tc>
        <w:tc>
          <w:tcPr>
            <w:tcW w:w="1619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8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新中心端</w:t>
            </w:r>
          </w:p>
        </w:tc>
        <w:tc>
          <w:tcPr>
            <w:tcW w:w="13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NMC-8820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50</w:t>
            </w:r>
          </w:p>
        </w:tc>
        <w:tc>
          <w:tcPr>
            <w:tcW w:w="19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10.1.1.240</w:t>
            </w:r>
          </w:p>
        </w:tc>
        <w:tc>
          <w:tcPr>
            <w:tcW w:w="1917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NMC3.9.0R1</w:t>
            </w:r>
          </w:p>
        </w:tc>
        <w:tc>
          <w:tcPr>
            <w:tcW w:w="1619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8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分支1</w:t>
            </w:r>
          </w:p>
        </w:tc>
        <w:tc>
          <w:tcPr>
            <w:tcW w:w="13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NAC-6100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19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10.1.1.101</w:t>
            </w:r>
          </w:p>
        </w:tc>
        <w:tc>
          <w:tcPr>
            <w:tcW w:w="1917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NAC3.8.2.0</w:t>
            </w:r>
          </w:p>
        </w:tc>
        <w:tc>
          <w:tcPr>
            <w:tcW w:w="1619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NAC3.9.0R1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8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分支2</w:t>
            </w:r>
          </w:p>
        </w:tc>
        <w:tc>
          <w:tcPr>
            <w:tcW w:w="13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NAC-6100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19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10.1.1.102</w:t>
            </w:r>
          </w:p>
        </w:tc>
        <w:tc>
          <w:tcPr>
            <w:tcW w:w="1917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NAC3.8.2.0</w:t>
            </w:r>
          </w:p>
        </w:tc>
        <w:tc>
          <w:tcPr>
            <w:tcW w:w="1619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NAC3.9.0R1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18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分支3</w:t>
            </w:r>
          </w:p>
        </w:tc>
        <w:tc>
          <w:tcPr>
            <w:tcW w:w="138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NAC-6100</w:t>
            </w:r>
          </w:p>
        </w:tc>
        <w:tc>
          <w:tcPr>
            <w:tcW w:w="1190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100</w:t>
            </w:r>
          </w:p>
        </w:tc>
        <w:tc>
          <w:tcPr>
            <w:tcW w:w="1928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default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10.1.1.103</w:t>
            </w:r>
          </w:p>
        </w:tc>
        <w:tc>
          <w:tcPr>
            <w:tcW w:w="1917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NAC3.8.2.0</w:t>
            </w:r>
          </w:p>
        </w:tc>
        <w:tc>
          <w:tcPr>
            <w:tcW w:w="1619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NAC3.9.0R1</w:t>
            </w:r>
          </w:p>
        </w:tc>
      </w:tr>
    </w:tbl>
    <w:p>
      <w:pPr>
        <w:ind w:left="0" w:leftChars="0" w:firstLine="0" w:firstLineChars="0"/>
      </w:pPr>
    </w:p>
    <w:p>
      <w:pPr>
        <w:pStyle w:val="3"/>
        <w:rPr>
          <w:rFonts w:ascii="方正兰亭黑简体" w:hAnsi="方正兰亭黑简体"/>
          <w:szCs w:val="24"/>
        </w:rPr>
      </w:pPr>
      <w:bookmarkStart w:id="4" w:name="_Toc14884"/>
      <w:r>
        <w:rPr>
          <w:rFonts w:hint="eastAsia" w:ascii="方正兰亭黑简体" w:hAnsi="方正兰亭黑简体"/>
          <w:szCs w:val="24"/>
          <w:lang w:val="en-US" w:eastAsia="zh-CN"/>
        </w:rPr>
        <w:t>迁移时间</w:t>
      </w:r>
      <w:bookmarkEnd w:id="4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2022年9月5日晚上21:30至晚上23:30</w:t>
      </w:r>
    </w:p>
    <w:p>
      <w:pPr>
        <w:pStyle w:val="2"/>
        <w:rPr>
          <w:rFonts w:ascii="方正兰亭黑简体" w:hAnsi="方正兰亭黑简体"/>
        </w:rPr>
      </w:pPr>
      <w:bookmarkStart w:id="5" w:name="_Toc2910"/>
      <w:r>
        <w:rPr>
          <w:rFonts w:hint="eastAsia" w:ascii="方正兰亭黑简体" w:hAnsi="方正兰亭黑简体"/>
          <w:lang w:val="en-US" w:eastAsia="zh-CN"/>
        </w:rPr>
        <w:t>迁移前准备</w:t>
      </w:r>
      <w:bookmarkEnd w:id="5"/>
    </w:p>
    <w:p>
      <w:pPr>
        <w:pStyle w:val="3"/>
        <w:bidi w:val="0"/>
        <w:rPr>
          <w:rFonts w:hint="eastAsia"/>
        </w:rPr>
      </w:pPr>
      <w:bookmarkStart w:id="6" w:name="_Toc13135"/>
      <w:r>
        <w:rPr>
          <w:rFonts w:hint="eastAsia"/>
          <w:lang w:val="en-US" w:eastAsia="zh-CN"/>
        </w:rPr>
        <w:t>材料准备</w:t>
      </w:r>
      <w:bookmarkEnd w:id="6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XXX客户准备：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1、确定网络中断窗口时间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2、提前下发通知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（迁移过程中无线将会断开，需要提前下发断网通知）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3、提供可以登录的网络环境（访控开通、高权账号等）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4、机房管理权限（升级失败回退可能需甲方协助进入机房）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信锐工程师准备：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1、Console线、升级工具及升级安装包（升级前校验MD5值）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2、同型号设备备机（NAC3.8.2.0）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3、升级后控制器补丁包（如有）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4、详细的升级方案（包含问题回退方案）</w:t>
      </w:r>
    </w:p>
    <w:p>
      <w:pPr>
        <w:numPr>
          <w:ilvl w:val="0"/>
          <w:numId w:val="0"/>
        </w:numPr>
        <w:ind w:left="420" w:leftChars="0"/>
        <w:rPr>
          <w:rFonts w:hint="eastAsia" w:ascii="方正兰亭黑简体" w:hAnsi="方正兰亭黑简体" w:eastAsia="方正兰亭黑简体"/>
        </w:rPr>
      </w:pPr>
      <w:r>
        <w:rPr>
          <w:rFonts w:hint="eastAsia" w:ascii="方正兰亭黑简体" w:hAnsi="方正兰亭黑简体" w:eastAsia="方正兰亭黑简体"/>
          <w:lang w:val="en-US" w:eastAsia="zh-CN"/>
        </w:rPr>
        <w:t>5、升级</w:t>
      </w:r>
      <w:r>
        <w:rPr>
          <w:rFonts w:hint="eastAsia" w:ascii="方正兰亭黑简体" w:hAnsi="方正兰亭黑简体" w:eastAsia="方正兰亭黑简体"/>
        </w:rPr>
        <w:t>后现场验证</w:t>
      </w:r>
    </w:p>
    <w:p>
      <w:pPr>
        <w:pStyle w:val="3"/>
        <w:bidi w:val="0"/>
        <w:rPr>
          <w:rFonts w:hint="eastAsia"/>
        </w:rPr>
      </w:pPr>
      <w:bookmarkStart w:id="7" w:name="_Toc17364"/>
      <w:r>
        <w:rPr>
          <w:rFonts w:hint="eastAsia"/>
          <w:lang w:val="en-US" w:eastAsia="zh-CN"/>
        </w:rPr>
        <w:t>参与人员</w:t>
      </w:r>
      <w:bookmarkEnd w:id="7"/>
    </w:p>
    <w:p>
      <w:pPr>
        <w:ind w:firstLine="420"/>
        <w:rPr>
          <w:rFonts w:hint="eastAsia" w:ascii="方正兰亭黑简体" w:hAnsi="方正兰亭黑简体" w:eastAsia="方正兰亭黑简体" w:cs="方正兰亭黑简体"/>
          <w:color w:val="000000"/>
          <w:sz w:val="21"/>
          <w:szCs w:val="21"/>
        </w:rPr>
      </w:pPr>
      <w:r>
        <w:rPr>
          <w:rFonts w:hint="eastAsia" w:ascii="方正兰亭黑简体" w:hAnsi="方正兰亭黑简体" w:eastAsia="方正兰亭黑简体" w:cs="方正兰亭黑简体"/>
          <w:color w:val="000000"/>
          <w:sz w:val="21"/>
          <w:szCs w:val="21"/>
        </w:rPr>
        <w:t>信锐</w:t>
      </w:r>
      <w:r>
        <w:rPr>
          <w:rFonts w:hint="eastAsia" w:ascii="方正兰亭黑简体" w:hAnsi="方正兰亭黑简体" w:eastAsia="方正兰亭黑简体" w:cs="方正兰亭黑简体"/>
          <w:color w:val="000000"/>
          <w:sz w:val="21"/>
          <w:szCs w:val="21"/>
          <w:lang w:val="en-US" w:eastAsia="zh-CN"/>
        </w:rPr>
        <w:t>交换机</w:t>
      </w:r>
      <w:r>
        <w:rPr>
          <w:rFonts w:hint="eastAsia" w:ascii="方正兰亭黑简体" w:hAnsi="方正兰亭黑简体" w:eastAsia="方正兰亭黑简体" w:cs="方正兰亭黑简体"/>
          <w:color w:val="000000"/>
          <w:sz w:val="21"/>
          <w:szCs w:val="21"/>
        </w:rPr>
        <w:t>升级过程中需参与各方如下：</w:t>
      </w:r>
    </w:p>
    <w:tbl>
      <w:tblPr>
        <w:tblStyle w:val="19"/>
        <w:tblW w:w="87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3"/>
        <w:gridCol w:w="1882"/>
        <w:gridCol w:w="2386"/>
        <w:gridCol w:w="2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参与方</w:t>
            </w:r>
          </w:p>
        </w:tc>
        <w:tc>
          <w:tcPr>
            <w:tcW w:w="1882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参与人员</w:t>
            </w:r>
          </w:p>
        </w:tc>
        <w:tc>
          <w:tcPr>
            <w:tcW w:w="2386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联系方式</w:t>
            </w:r>
          </w:p>
        </w:tc>
        <w:tc>
          <w:tcPr>
            <w:tcW w:w="2495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XX客户</w:t>
            </w:r>
          </w:p>
        </w:tc>
        <w:tc>
          <w:tcPr>
            <w:tcW w:w="18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张XX</w:t>
            </w:r>
          </w:p>
        </w:tc>
        <w:tc>
          <w:tcPr>
            <w:tcW w:w="238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13333333331</w:t>
            </w:r>
          </w:p>
        </w:tc>
        <w:tc>
          <w:tcPr>
            <w:tcW w:w="24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auto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信锐技术工程师</w:t>
            </w:r>
          </w:p>
        </w:tc>
        <w:tc>
          <w:tcPr>
            <w:tcW w:w="18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王XX</w:t>
            </w:r>
          </w:p>
        </w:tc>
        <w:tc>
          <w:tcPr>
            <w:tcW w:w="238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13333333332</w:t>
            </w:r>
          </w:p>
        </w:tc>
        <w:tc>
          <w:tcPr>
            <w:tcW w:w="24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auto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>
      <w:pPr>
        <w:pStyle w:val="3"/>
        <w:bidi w:val="0"/>
        <w:rPr>
          <w:rFonts w:hint="eastAsia"/>
          <w:lang w:val="en-US" w:eastAsia="zh-CN"/>
        </w:rPr>
      </w:pPr>
      <w:bookmarkStart w:id="8" w:name="_Toc10153"/>
      <w:r>
        <w:rPr>
          <w:rFonts w:hint="eastAsia"/>
          <w:lang w:val="en-US" w:eastAsia="zh-CN"/>
        </w:rPr>
        <w:t>迁移思路</w:t>
      </w:r>
      <w:bookmarkEnd w:id="8"/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验证业务是否正常，AP是否固定IP地址，旧中心端与分支控制器是否存在补丁包；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使用最新的巡检工具对旧中心端及分支控制器进行巡检，查看是否存在问题；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备份旧中心端与分支控制器的配置文件；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截图保留关键配置及设备在线情况，将离线设备单独截图保存；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检查新中心端序列号是否正常，AP/交换机授权数量是否足够；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将旧中心端的配置文件全部导入新中心端，修改新中心端的管理IP及路由；打上补丁包（如有）。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首先迁移旧中心端AP：修改新中心端上的接入点参数，主控制器IP为新中心端IP；</w:t>
      </w:r>
    </w:p>
    <w:p>
      <w:pPr>
        <w:numPr>
          <w:ilvl w:val="0"/>
          <w:numId w:val="2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导出旧中心端AP列表，修改AP发现控制器IP为新中心端IP，再导入新中心端；</w:t>
      </w:r>
    </w:p>
    <w:p>
      <w:pPr>
        <w:numPr>
          <w:ilvl w:val="0"/>
          <w:numId w:val="2"/>
        </w:numPr>
        <w:ind w:left="0" w:leftChars="0"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修改旧中心端接入点参数，主控制器IP为新中心端的IP；</w:t>
      </w:r>
    </w:p>
    <w:p>
      <w:pPr>
        <w:numPr>
          <w:ilvl w:val="0"/>
          <w:numId w:val="2"/>
        </w:numPr>
        <w:ind w:left="0" w:leftChars="0"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禁用旧中心端与AP通信的网口1分钟，AP会自动上线至新中心端；</w:t>
      </w:r>
    </w:p>
    <w:p>
      <w:pPr>
        <w:numPr>
          <w:ilvl w:val="0"/>
          <w:numId w:val="2"/>
        </w:numPr>
        <w:ind w:left="0" w:leftChars="0"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再迁移分支控制器：导出旧中心端的控制器列表，将控制器列表导入到新中心端；</w:t>
      </w:r>
    </w:p>
    <w:p>
      <w:pPr>
        <w:numPr>
          <w:ilvl w:val="0"/>
          <w:numId w:val="2"/>
        </w:numPr>
        <w:ind w:left="0" w:leftChars="0"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分别登录分支控制器，修改中心控制器主地址为新中心端IP，分支控制器会上线至新中心端。</w:t>
      </w:r>
    </w:p>
    <w:p>
      <w:pPr>
        <w:numPr>
          <w:ilvl w:val="0"/>
          <w:numId w:val="2"/>
        </w:numPr>
        <w:ind w:left="0" w:leftChars="0"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待AP及分支控制器全部迁移完成后，再用巡检工具分别巡检一次，查看是否存在问题。</w:t>
      </w:r>
    </w:p>
    <w:p>
      <w:pPr>
        <w:pStyle w:val="2"/>
        <w:rPr>
          <w:rFonts w:ascii="方正兰亭黑简体" w:hAnsi="方正兰亭黑简体"/>
        </w:rPr>
      </w:pPr>
      <w:bookmarkStart w:id="9" w:name="_Toc28841"/>
      <w:r>
        <w:rPr>
          <w:rFonts w:hint="eastAsia" w:ascii="方正兰亭黑简体" w:hAnsi="方正兰亭黑简体"/>
          <w:lang w:val="en-US" w:eastAsia="zh-CN"/>
        </w:rPr>
        <w:t>迁移影响</w:t>
      </w:r>
      <w:bookmarkEnd w:id="9"/>
    </w:p>
    <w:p>
      <w:pPr>
        <w:pStyle w:val="32"/>
        <w:numPr>
          <w:ilvl w:val="0"/>
          <w:numId w:val="0"/>
        </w:numPr>
        <w:ind w:firstLine="420" w:firstLineChars="0"/>
        <w:jc w:val="left"/>
        <w:rPr>
          <w:rFonts w:hint="eastAsia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</w:pPr>
      <w:r>
        <w:rPr>
          <w:rFonts w:hint="eastAsia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  <w:t>旧中心端AP迁移过程中，中心端无线网络会中断，直至升级完成后AP自动同步版本成功，无线网络才能够正常发出，业务恢复正常。</w:t>
      </w:r>
    </w:p>
    <w:p>
      <w:pPr>
        <w:pStyle w:val="32"/>
        <w:numPr>
          <w:ilvl w:val="0"/>
          <w:numId w:val="0"/>
        </w:numPr>
        <w:ind w:firstLine="420" w:firstLineChars="0"/>
        <w:jc w:val="left"/>
        <w:rPr>
          <w:rFonts w:hint="default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</w:pPr>
      <w:r>
        <w:rPr>
          <w:rFonts w:hint="eastAsia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  <w:t>分支控制器迁移过程中，分支无线业务不受影响。</w:t>
      </w:r>
    </w:p>
    <w:p>
      <w:pPr>
        <w:pStyle w:val="2"/>
        <w:rPr>
          <w:rFonts w:ascii="方正兰亭黑简体" w:hAnsi="方正兰亭黑简体"/>
        </w:rPr>
      </w:pPr>
      <w:bookmarkStart w:id="10" w:name="_Toc23066"/>
      <w:r>
        <w:rPr>
          <w:rFonts w:hint="eastAsia" w:ascii="方正兰亭黑简体" w:hAnsi="方正兰亭黑简体"/>
          <w:lang w:val="en-US" w:eastAsia="zh-CN"/>
        </w:rPr>
        <w:t>迁移步骤</w:t>
      </w:r>
      <w:bookmarkEnd w:id="10"/>
    </w:p>
    <w:p>
      <w:pPr>
        <w:pStyle w:val="3"/>
        <w:bidi w:val="0"/>
        <w:rPr>
          <w:rFonts w:hint="eastAsia"/>
        </w:rPr>
      </w:pPr>
      <w:bookmarkStart w:id="11" w:name="_Toc10917"/>
      <w:r>
        <w:rPr>
          <w:rFonts w:hint="eastAsia"/>
          <w:lang w:val="en-US" w:eastAsia="zh-CN"/>
        </w:rPr>
        <w:t>迁移</w:t>
      </w:r>
      <w:r>
        <w:rPr>
          <w:rFonts w:hint="eastAsia"/>
        </w:rPr>
        <w:t>前业务验证</w:t>
      </w:r>
      <w:bookmarkEnd w:id="11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验证迁移前的无线，在中心端与分支的AP下均能正常认证，正常访问业务，并记录正常状态；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pStyle w:val="3"/>
        <w:bidi w:val="0"/>
        <w:rPr>
          <w:rFonts w:hint="eastAsia"/>
        </w:rPr>
      </w:pPr>
      <w:bookmarkStart w:id="12" w:name="_Toc17372"/>
      <w:r>
        <w:rPr>
          <w:rFonts w:hint="eastAsia"/>
          <w:lang w:val="en-US" w:eastAsia="zh-CN"/>
        </w:rPr>
        <w:t>迁移</w:t>
      </w:r>
      <w:r>
        <w:rPr>
          <w:rFonts w:hint="eastAsia"/>
        </w:rPr>
        <w:t>前设备状态</w:t>
      </w:r>
      <w:bookmarkEnd w:id="12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验证迁移前中心端与分支上AP和交换机的状态：在线、离线等；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3"/>
        <w:bidi w:val="0"/>
        <w:rPr>
          <w:rFonts w:hint="eastAsia"/>
        </w:rPr>
      </w:pPr>
      <w:bookmarkStart w:id="13" w:name="_Toc865"/>
      <w:r>
        <w:rPr>
          <w:rFonts w:hint="eastAsia"/>
          <w:lang w:val="en-US" w:eastAsia="zh-CN"/>
        </w:rPr>
        <w:t>迁移</w:t>
      </w:r>
      <w:r>
        <w:rPr>
          <w:rFonts w:hint="eastAsia"/>
        </w:rPr>
        <w:t>前配置备份</w:t>
      </w:r>
      <w:bookmarkEnd w:id="13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迁移前对旧中心端与分支控制器进行配置备份，包括配置文件、访客数据库、数据分析库、网络备份配置；导出接入点/交换机列表，用户列表、MAC地址库，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具体文件如下：</w:t>
      </w: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备份配置：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备份访客数据库：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备份本地用户：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备份网络配置：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备份MAC地址库：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备份数据分析库：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</w:p>
    <w:p>
      <w:pPr>
        <w:pStyle w:val="3"/>
        <w:bidi w:val="0"/>
        <w:rPr>
          <w:rFonts w:hint="eastAsia"/>
        </w:rPr>
      </w:pPr>
      <w:bookmarkStart w:id="14" w:name="_Toc24645"/>
      <w:r>
        <w:rPr>
          <w:rFonts w:hint="eastAsia"/>
          <w:lang w:val="en-US" w:eastAsia="zh-CN"/>
        </w:rPr>
        <w:t>迁移</w:t>
      </w:r>
      <w:r>
        <w:rPr>
          <w:rFonts w:hint="eastAsia"/>
        </w:rPr>
        <w:t>详细步骤</w:t>
      </w:r>
      <w:bookmarkEnd w:id="14"/>
    </w:p>
    <w:tbl>
      <w:tblPr>
        <w:tblStyle w:val="19"/>
        <w:tblW w:w="94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3"/>
        <w:gridCol w:w="3296"/>
        <w:gridCol w:w="1140"/>
        <w:gridCol w:w="1125"/>
        <w:gridCol w:w="1125"/>
        <w:gridCol w:w="215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序号</w:t>
            </w:r>
          </w:p>
        </w:tc>
        <w:tc>
          <w:tcPr>
            <w:tcW w:w="3296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相关操作</w:t>
            </w:r>
          </w:p>
        </w:tc>
        <w:tc>
          <w:tcPr>
            <w:tcW w:w="1140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起始时间</w:t>
            </w:r>
          </w:p>
        </w:tc>
        <w:tc>
          <w:tcPr>
            <w:tcW w:w="1125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结束时间</w:t>
            </w:r>
          </w:p>
        </w:tc>
        <w:tc>
          <w:tcPr>
            <w:tcW w:w="1125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预计历时</w:t>
            </w:r>
          </w:p>
        </w:tc>
        <w:tc>
          <w:tcPr>
            <w:tcW w:w="2154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b/>
                <w:bCs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1</w:t>
            </w: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验证业务、备份配置、保存截图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升级前准备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使用最新的巡检工具，巡检旧中心端与分支控制器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巡检发现问题，解决后再进行迁移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验证新中心端序列号是否正常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21:30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21:40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打开录屏软件，记录操作过程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21:40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21:45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/>
                <w:color w:val="auto"/>
                <w:lang w:val="en-US" w:eastAsia="zh-CN"/>
              </w:rPr>
              <w:t>电脑直连新中心端manage口，将旧中心端的配置文件、访客数据库、数据分析库、网络备份配置；接入点/交换机列表，用户列表、MAC地址库全部导入新中心端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21:45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22:00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给新中心端打上补丁包（如有）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22:05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修改新中心端的管理IP及路由</w:t>
            </w: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，验证新中心端网络是否正常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22:05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22:10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8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修改新中心端上的接入点参数，主控制器IP为新中心端IP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22:10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22:15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9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导出旧中心端AP列表，修改AP发现控制器主IP为新中心端IP，备IP为旧中心端IP，再导入新中心端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22:15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22:20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防止AP在新旧控制器都不上线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10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新中心端登录云管家，将AP批量启用云发现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22:20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22:25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最后的应急手段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11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修改旧中心端接入点参数，主控制器IP为新中心端的IP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22:25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22:30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5分钟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  <w:t>禁用旧中心端与AP通信的接口，等待一分钟（AP隧道保活时间），中心端AP开始逐步迁移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22:30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22:40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1"/>
                <w:lang w:val="en-US" w:eastAsia="zh-CN" w:bidi="ar-SA"/>
              </w:rPr>
              <w:t>迁移中心端AP，无线业务开始中断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13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导出旧中心端的控制器列表，将控制器列表导入到新中心端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22:40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22:50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分别登录分支控制器，修改中心控制器主地址为新中心端IP，分支控制器会上线至新中心端。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22:50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23:00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迁移分支控制器，不影响无线业务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检查中心端与分支的无线认证是否正常，业务能否正常访问，并做好记录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23:00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23:30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30分钟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firstLine="420" w:firstLineChars="20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16</w:t>
            </w:r>
          </w:p>
        </w:tc>
        <w:tc>
          <w:tcPr>
            <w:tcW w:w="3296" w:type="dxa"/>
            <w:shd w:val="clear" w:color="auto" w:fill="auto"/>
            <w:vAlign w:val="top"/>
          </w:tcPr>
          <w:p>
            <w:pPr>
              <w:ind w:left="0" w:leftChars="0" w:firstLine="0" w:firstLineChars="0"/>
              <w:jc w:val="both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迁移完成，使用巡检工具再次巡检一遍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23:00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00:00</w:t>
            </w: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30分钟</w:t>
            </w: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firstLine="420" w:firstLineChars="20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关闭录屏软件，保存操作记录</w:t>
            </w:r>
          </w:p>
        </w:tc>
        <w:tc>
          <w:tcPr>
            <w:tcW w:w="1140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25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both"/>
              <w:rPr>
                <w:rFonts w:hint="eastAsia" w:ascii="方正兰亭黑简体" w:hAnsi="方正兰亭黑简体" w:eastAsia="方正兰亭黑简体" w:cs="方正兰亭黑简体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</w:tbl>
    <w:p>
      <w:pPr>
        <w:ind w:left="0" w:leftChars="0" w:firstLine="0" w:firstLineChars="0"/>
        <w:rPr>
          <w:rFonts w:hint="default" w:eastAsiaTheme="minorEastAsia"/>
          <w:lang w:val="en-US" w:eastAsia="zh-CN"/>
        </w:rPr>
      </w:pPr>
    </w:p>
    <w:p>
      <w:pPr>
        <w:ind w:left="0" w:leftChars="0" w:firstLine="0" w:firstLineChars="0"/>
        <w:rPr>
          <w:rFonts w:hint="default" w:eastAsiaTheme="minorEastAsia"/>
          <w:lang w:val="en-US" w:eastAsia="zh-CN"/>
        </w:rPr>
      </w:pPr>
    </w:p>
    <w:p>
      <w:pPr>
        <w:pStyle w:val="3"/>
        <w:bidi w:val="0"/>
      </w:pPr>
      <w:bookmarkStart w:id="15" w:name="_Toc119"/>
      <w:r>
        <w:rPr>
          <w:rFonts w:hint="eastAsia"/>
          <w:lang w:val="en-US" w:eastAsia="zh-CN"/>
        </w:rPr>
        <w:t>迁移操作截图</w:t>
      </w:r>
      <w:bookmarkEnd w:id="15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核对新中心端序列号是否正常：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57800" cy="2331085"/>
            <wp:effectExtent l="0" t="0" r="0" b="571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33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eastAsia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修改新中心端的管理IP及路由：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57800" cy="217170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19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5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 w:eastAsiaTheme="minorEastAsia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新中心端导入旧中心端配置：</w:t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59070" cy="2693670"/>
            <wp:effectExtent l="0" t="0" r="11430" b="1143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59070" cy="269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导入访客数据库：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70500" cy="2981960"/>
            <wp:effectExtent l="0" t="0" r="0" b="254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98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导入本地用户：</w:t>
      </w:r>
    </w:p>
    <w:p>
      <w:pPr>
        <w:ind w:left="0" w:leftChars="0" w:firstLine="0" w:firstLineChars="0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66690" cy="2570480"/>
            <wp:effectExtent l="0" t="0" r="3810" b="7620"/>
            <wp:docPr id="2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导入MAC地址库：（导入备份配置时会同步导入，可忽略该步骤）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24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18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导入数据分析库：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2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1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给新中心端打上补丁包：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27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t>修改新中心端上的接入点参数，主控制器IP为新中心端IP</w:t>
      </w: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，备控制器IP为旧中心端IP</w:t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76215" cy="3513455"/>
            <wp:effectExtent l="0" t="0" r="6985" b="4445"/>
            <wp:docPr id="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6215" cy="351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lang w:val="en-US" w:eastAsia="zh-CN"/>
        </w:rPr>
      </w:pPr>
    </w:p>
    <w:p>
      <w:pPr>
        <w:pStyle w:val="55"/>
        <w:ind w:firstLine="420" w:firstLineChars="0"/>
        <w:rPr>
          <w:rFonts w:hint="default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</w:pPr>
      <w:r>
        <w:rPr>
          <w:rFonts w:hint="eastAsia" w:ascii="方正兰亭黑简体" w:hAnsi="方正兰亭黑简体" w:eastAsia="方正兰亭黑简体" w:cstheme="minorBidi"/>
          <w:color w:val="0000FF"/>
          <w:kern w:val="2"/>
          <w:sz w:val="21"/>
          <w:szCs w:val="22"/>
          <w:lang w:val="en-US" w:eastAsia="zh-CN" w:bidi="ar-SA"/>
        </w:rPr>
        <w:t>导出旧中心端AP列表</w:t>
      </w:r>
      <w:r>
        <w:rPr>
          <w:rFonts w:hint="eastAsia" w:ascii="方正兰亭黑简体" w:hAnsi="方正兰亭黑简体" w:eastAsia="方正兰亭黑简体" w:cstheme="minorBidi"/>
          <w:color w:val="FF0000"/>
          <w:kern w:val="2"/>
          <w:sz w:val="21"/>
          <w:szCs w:val="22"/>
          <w:lang w:val="en-US" w:eastAsia="zh-CN" w:bidi="ar-SA"/>
        </w:rPr>
        <w:t>（根据客户体量大小，经研发评估后，可选择分批次迁移）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40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2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修改AP发现控制器IP为新中心端IP，再导入新中心端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48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3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在新中心端内将AP批量启用云发现</w:t>
      </w: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drawing>
          <wp:inline distT="0" distB="0" distL="114300" distR="114300">
            <wp:extent cx="5266690" cy="1807845"/>
            <wp:effectExtent l="0" t="0" r="3810" b="8255"/>
            <wp:docPr id="2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807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修改旧中心端接入点参数，主控制器IP为新中心端的IP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49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34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禁用旧中心端与AP通信的接口，等待一分钟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1656715"/>
            <wp:effectExtent l="0" t="0" r="3810" b="6985"/>
            <wp:docPr id="2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656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导出旧中心端控制器列表：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50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35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t>将控制器列表导入到新中心端</w:t>
      </w:r>
    </w:p>
    <w:p>
      <w:pPr>
        <w:ind w:left="0" w:leftChars="0" w:firstLine="0" w:firstLineChars="0"/>
      </w:pPr>
      <w:r>
        <w:drawing>
          <wp:inline distT="0" distB="0" distL="114300" distR="114300">
            <wp:extent cx="5266690" cy="2570480"/>
            <wp:effectExtent l="0" t="0" r="3810" b="7620"/>
            <wp:docPr id="51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3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 w:ascii="方正兰亭黑简体" w:hAnsi="方正兰亭黑简体" w:eastAsia="方正兰亭黑简体" w:cs="方正兰亭黑简体"/>
          <w:color w:val="000000"/>
          <w:kern w:val="2"/>
          <w:sz w:val="21"/>
          <w:szCs w:val="21"/>
          <w:lang w:val="en-US" w:eastAsia="zh-CN" w:bidi="ar"/>
        </w:rPr>
      </w:pPr>
    </w:p>
    <w:p>
      <w:pPr>
        <w:ind w:left="0" w:leftChars="0" w:firstLine="0" w:firstLineChars="0"/>
        <w:jc w:val="left"/>
      </w:pPr>
      <w:r>
        <w:drawing>
          <wp:inline distT="0" distB="0" distL="114300" distR="114300">
            <wp:extent cx="5266690" cy="2570480"/>
            <wp:effectExtent l="0" t="0" r="3810" b="7620"/>
            <wp:docPr id="53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38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0" w:leftChars="0" w:firstLine="0" w:firstLineChars="0"/>
        <w:rPr>
          <w:rFonts w:hint="default"/>
          <w:lang w:val="en-US" w:eastAsia="zh-CN"/>
        </w:rPr>
      </w:pPr>
      <w:r>
        <w:drawing>
          <wp:inline distT="0" distB="0" distL="114300" distR="114300">
            <wp:extent cx="5266690" cy="2570480"/>
            <wp:effectExtent l="0" t="0" r="3810" b="7620"/>
            <wp:docPr id="5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37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rPr>
          <w:rFonts w:ascii="方正兰亭黑简体" w:hAnsi="方正兰亭黑简体"/>
        </w:rPr>
      </w:pPr>
      <w:bookmarkStart w:id="16" w:name="_Toc8117"/>
      <w:r>
        <w:rPr>
          <w:rFonts w:hint="eastAsia" w:ascii="方正兰亭黑简体" w:hAnsi="方正兰亭黑简体"/>
          <w:lang w:val="en-US" w:eastAsia="zh-CN"/>
        </w:rPr>
        <w:t>迁移后验证</w:t>
      </w:r>
      <w:bookmarkEnd w:id="16"/>
    </w:p>
    <w:p>
      <w:pPr>
        <w:pStyle w:val="3"/>
        <w:bidi w:val="0"/>
        <w:rPr>
          <w:rFonts w:hint="eastAsia"/>
          <w:lang w:val="en-US" w:eastAsia="zh-CN"/>
        </w:rPr>
      </w:pPr>
      <w:bookmarkStart w:id="17" w:name="_Toc25607"/>
      <w:bookmarkStart w:id="18" w:name="_Toc5420"/>
      <w:r>
        <w:rPr>
          <w:rFonts w:hint="eastAsia"/>
          <w:lang w:val="en-US" w:eastAsia="zh-CN"/>
        </w:rPr>
        <w:t>业务状态验证</w:t>
      </w:r>
      <w:bookmarkEnd w:id="17"/>
      <w:bookmarkEnd w:id="18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bookmarkStart w:id="19" w:name="_Toc25358"/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验证升级后的无线认证正常、业务系统可以正常提供服务，并记录正常状态；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验证中心端修改无线网络，配置可以下发给网点控制器和AP；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pStyle w:val="3"/>
        <w:bidi w:val="0"/>
        <w:rPr>
          <w:rFonts w:hint="eastAsia"/>
          <w:lang w:val="en-US" w:eastAsia="zh-CN"/>
        </w:rPr>
      </w:pPr>
      <w:bookmarkStart w:id="20" w:name="_Toc804"/>
      <w:r>
        <w:rPr>
          <w:rFonts w:hint="eastAsia"/>
          <w:lang w:val="en-US" w:eastAsia="zh-CN"/>
        </w:rPr>
        <w:t>设备状态验证</w:t>
      </w:r>
      <w:bookmarkEnd w:id="19"/>
      <w:bookmarkEnd w:id="20"/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验证升级后的AP及交换机的在线情况；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验证中心端和网点控制器后台进程是否正常；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具体截图如下：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兰亭黑简体" w:hAnsi="方正兰亭黑简体" w:eastAsia="方正兰亭黑简体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appinit_cli info|grep dead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</w:p>
    <w:p>
      <w:pPr>
        <w:pStyle w:val="2"/>
        <w:rPr>
          <w:rFonts w:ascii="方正兰亭黑简体" w:hAnsi="方正兰亭黑简体"/>
        </w:rPr>
      </w:pPr>
      <w:bookmarkStart w:id="21" w:name="_Toc13909"/>
      <w:r>
        <w:rPr>
          <w:rFonts w:hint="eastAsia" w:ascii="方正兰亭黑简体" w:hAnsi="方正兰亭黑简体"/>
          <w:lang w:val="en-US" w:eastAsia="zh-CN"/>
        </w:rPr>
        <w:t>注意事项</w:t>
      </w:r>
      <w:bookmarkEnd w:id="21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FF0000"/>
          <w:lang w:val="en-US" w:eastAsia="zh-CN"/>
        </w:rPr>
        <w:t>1）低于3742R1版本的旧控制器，需要先升级至3742R1版本及以上，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才能按照该方案</w:t>
      </w:r>
      <w:r>
        <w:rPr>
          <w:rFonts w:hint="default" w:ascii="方正兰亭黑简体" w:hAnsi="方正兰亭黑简体" w:eastAsia="方正兰亭黑简体"/>
          <w:color w:val="FF0000"/>
          <w:lang w:val="en-US" w:eastAsia="zh-CN"/>
        </w:rPr>
        <w:t>互导配置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2</w:t>
      </w:r>
      <w:r>
        <w:rPr>
          <w:rFonts w:hint="default" w:ascii="方正兰亭黑简体" w:hAnsi="方正兰亭黑简体" w:eastAsia="方正兰亭黑简体"/>
          <w:color w:val="FF0000"/>
          <w:lang w:val="en-US" w:eastAsia="zh-CN"/>
        </w:rPr>
        <w:t>）</w:t>
      </w: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若新中心端是虚拟机，需要根据客户当前的业务量、当前设备型号，找研发进行性能评估，给出新设备硬件参数：CPU型号、CPU核数、内存大小、磁盘大小；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3）若评估的新虚拟机CPU型号大于8核，那么需要新制作对应低版本的ova镜像，用以支持超过8核需求；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4）升级前确认控制器是否打补丁包，除了中心端，分支端也是需要确认的；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5）新旧控制器配置互导，任何一方软控平台必须是VMware或深信服超融合版本，暂不支持阿里云、天翼云部署的软控配置互导；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FF0000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FF0000"/>
          <w:lang w:val="en-US" w:eastAsia="zh-CN"/>
        </w:rPr>
        <w:t>6）版本在3742R1以上的集结号2.0中心端配置，可以直接导入到NMC里。但是需要提前开通集中转发/VLAN配置等NMC隐藏功能项（具体可参考选型表）。</w:t>
      </w:r>
    </w:p>
    <w:p>
      <w:pPr>
        <w:pStyle w:val="2"/>
        <w:rPr>
          <w:rFonts w:ascii="方正兰亭黑简体" w:hAnsi="方正兰亭黑简体"/>
        </w:rPr>
      </w:pPr>
      <w:bookmarkStart w:id="22" w:name="_Toc11491"/>
      <w:r>
        <w:rPr>
          <w:rFonts w:hint="eastAsia" w:ascii="方正兰亭黑简体" w:hAnsi="方正兰亭黑简体"/>
          <w:lang w:val="en-US" w:eastAsia="zh-CN"/>
        </w:rPr>
        <w:t>回退方案</w:t>
      </w:r>
      <w:bookmarkEnd w:id="22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本次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无线迁移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如果出现不可控的异常问题，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自行尝试处理达到变更窗口时间的</w:t>
      </w:r>
      <w:r>
        <w:rPr>
          <w:rFonts w:hint="default" w:ascii="方正兰亭黑简体" w:hAnsi="方正兰亭黑简体" w:eastAsia="方正兰亭黑简体"/>
          <w:color w:val="auto"/>
          <w:lang w:val="en-US" w:eastAsia="zh-Hans"/>
        </w:rPr>
        <w:t>30%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时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，立即联系对应的专家资源介入处理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；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若专家处理时间达到变更窗口时间的</w:t>
      </w:r>
      <w:r>
        <w:rPr>
          <w:rFonts w:hint="default" w:ascii="方正兰亭黑简体" w:hAnsi="方正兰亭黑简体" w:eastAsia="方正兰亭黑简体"/>
          <w:color w:val="auto"/>
          <w:lang w:val="en-US" w:eastAsia="zh-Hans"/>
        </w:rPr>
        <w:t>50%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时，立即安排研发介入处理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；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若研发处理时间达到变更窗口时间的</w:t>
      </w:r>
      <w:r>
        <w:rPr>
          <w:rFonts w:hint="default" w:ascii="方正兰亭黑简体" w:hAnsi="方正兰亭黑简体" w:eastAsia="方正兰亭黑简体"/>
          <w:color w:val="auto"/>
          <w:lang w:val="en-US" w:eastAsia="zh-Hans"/>
        </w:rPr>
        <w:t>80%</w:t>
      </w:r>
      <w:r>
        <w:rPr>
          <w:rFonts w:hint="eastAsia" w:ascii="方正兰亭黑简体" w:hAnsi="方正兰亭黑简体" w:eastAsia="方正兰亭黑简体"/>
          <w:color w:val="auto"/>
          <w:lang w:val="en-US" w:eastAsia="zh-Hans"/>
        </w:rPr>
        <w:t>时，立即进入回退阶段。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恢复业务，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按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照以下回退方案对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设备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进行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回退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，保证用户上网正常，待故障问题查明并有明确解决方案后，再根据修改后的方案进行实施。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1）检查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电脑与控制器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网络连接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情况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，确认是否有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网线松动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的情况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2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）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按照升级步骤检查配置是否存在问题，</w:t>
      </w:r>
      <w:r>
        <w:rPr>
          <w:rFonts w:hint="default" w:ascii="方正兰亭黑简体" w:hAnsi="方正兰亭黑简体" w:eastAsia="方正兰亭黑简体"/>
          <w:color w:val="auto"/>
          <w:lang w:val="en-US" w:eastAsia="zh-CN"/>
        </w:rPr>
        <w:t>排查故障原因</w:t>
      </w: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3）电脑登录控制器后台，排查故障原因；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4）远程重启AP，看AP是否回到原来控制器上，并验证业务是否恢复正常；</w:t>
      </w:r>
    </w:p>
    <w:p>
      <w:pPr>
        <w:numPr>
          <w:ilvl w:val="0"/>
          <w:numId w:val="0"/>
        </w:numPr>
        <w:ind w:firstLine="420" w:firstLineChars="0"/>
        <w:rPr>
          <w:rFonts w:hint="eastAsia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5）将旧控制器配置导入临时备机上，重新接线并验证业务是否恢复正常；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auto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auto"/>
          <w:lang w:val="en-US" w:eastAsia="zh-CN"/>
        </w:rPr>
        <w:t>6）联系值班专家/研发进行问题排查。</w:t>
      </w:r>
    </w:p>
    <w:p>
      <w:pPr>
        <w:pStyle w:val="2"/>
        <w:rPr>
          <w:rFonts w:ascii="方正兰亭黑简体" w:hAnsi="方正兰亭黑简体"/>
        </w:rPr>
      </w:pPr>
      <w:bookmarkStart w:id="23" w:name="_Toc17037"/>
      <w:r>
        <w:rPr>
          <w:rFonts w:hint="eastAsia" w:ascii="方正兰亭黑简体" w:hAnsi="方正兰亭黑简体"/>
          <w:lang w:val="en-US" w:eastAsia="zh-CN"/>
        </w:rPr>
        <w:t>迁移后值守</w:t>
      </w:r>
      <w:bookmarkEnd w:id="23"/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根据客户</w:t>
      </w: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t>需要提供</w:t>
      </w: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升级</w:t>
      </w: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t>后驻场12小时保障业务，或者次日早8点到场保障</w:t>
      </w:r>
    </w:p>
    <w:p>
      <w:pPr>
        <w:numPr>
          <w:ilvl w:val="0"/>
          <w:numId w:val="0"/>
        </w:numPr>
        <w:ind w:firstLine="420" w:firstLineChars="0"/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eastAsia" w:ascii="方正兰亭黑简体" w:hAnsi="方正兰亭黑简体" w:eastAsia="方正兰亭黑简体"/>
          <w:color w:val="0000FF"/>
          <w:lang w:val="en-US" w:eastAsia="zh-CN"/>
        </w:rPr>
        <w:t>客户业务重要，需要提供12小时驻场保障业务，本次由XXX保障</w:t>
      </w:r>
    </w:p>
    <w:tbl>
      <w:tblPr>
        <w:tblStyle w:val="19"/>
        <w:tblW w:w="87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3"/>
        <w:gridCol w:w="1882"/>
        <w:gridCol w:w="2386"/>
        <w:gridCol w:w="24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参与方</w:t>
            </w:r>
          </w:p>
        </w:tc>
        <w:tc>
          <w:tcPr>
            <w:tcW w:w="1882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  <w:lang w:val="en-US" w:eastAsia="zh-CN"/>
              </w:rPr>
              <w:t>值守</w:t>
            </w: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人员</w:t>
            </w:r>
          </w:p>
        </w:tc>
        <w:tc>
          <w:tcPr>
            <w:tcW w:w="2386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联系方式</w:t>
            </w:r>
          </w:p>
        </w:tc>
        <w:tc>
          <w:tcPr>
            <w:tcW w:w="2495" w:type="dxa"/>
            <w:shd w:val="clear" w:color="auto" w:fill="auto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000000"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XX客户</w:t>
            </w:r>
          </w:p>
        </w:tc>
        <w:tc>
          <w:tcPr>
            <w:tcW w:w="18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张XX</w:t>
            </w:r>
          </w:p>
        </w:tc>
        <w:tc>
          <w:tcPr>
            <w:tcW w:w="238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13333333331</w:t>
            </w:r>
          </w:p>
        </w:tc>
        <w:tc>
          <w:tcPr>
            <w:tcW w:w="24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auto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default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  <w:t>信锐技术工程师</w:t>
            </w:r>
          </w:p>
        </w:tc>
        <w:tc>
          <w:tcPr>
            <w:tcW w:w="18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王XX</w:t>
            </w:r>
          </w:p>
        </w:tc>
        <w:tc>
          <w:tcPr>
            <w:tcW w:w="238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  <w:r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  <w:t>13333333332</w:t>
            </w:r>
          </w:p>
        </w:tc>
        <w:tc>
          <w:tcPr>
            <w:tcW w:w="24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auto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53" w:type="dxa"/>
            <w:shd w:val="clear" w:color="auto" w:fill="auto"/>
            <w:vAlign w:val="center"/>
          </w:tcPr>
          <w:p>
            <w:pPr>
              <w:ind w:left="0" w:leftChars="0" w:firstLine="0" w:firstLineChars="0"/>
              <w:jc w:val="center"/>
              <w:rPr>
                <w:rFonts w:hint="eastAsia" w:ascii="方正兰亭黑简体" w:hAnsi="方正兰亭黑简体" w:eastAsia="方正兰亭黑简体" w:cs="方正兰亭黑简体"/>
                <w:color w:val="FF0000"/>
                <w:sz w:val="21"/>
                <w:szCs w:val="21"/>
                <w:lang w:val="en-US" w:eastAsia="zh-CN"/>
              </w:rPr>
            </w:pPr>
          </w:p>
        </w:tc>
        <w:tc>
          <w:tcPr>
            <w:tcW w:w="188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38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FF0000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249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0" w:firstLineChars="0"/>
              <w:jc w:val="center"/>
              <w:textAlignment w:val="auto"/>
              <w:rPr>
                <w:rFonts w:hint="eastAsia" w:ascii="方正兰亭黑简体" w:hAnsi="方正兰亭黑简体" w:eastAsia="方正兰亭黑简体" w:cs="方正兰亭黑简体"/>
                <w:color w:val="auto"/>
                <w:kern w:val="2"/>
                <w:sz w:val="21"/>
                <w:szCs w:val="22"/>
                <w:highlight w:val="none"/>
                <w:vertAlign w:val="baseline"/>
                <w:lang w:val="en-US" w:eastAsia="zh-CN" w:bidi="ar-SA"/>
              </w:rPr>
            </w:pPr>
          </w:p>
        </w:tc>
      </w:tr>
    </w:tbl>
    <w:p>
      <w:pPr>
        <w:rPr>
          <w:rFonts w:hint="default" w:ascii="方正兰亭黑简体" w:hAnsi="方正兰亭黑简体" w:eastAsia="方正兰亭黑简体"/>
          <w:color w:val="0000FF"/>
          <w:lang w:val="en-US" w:eastAsia="zh-CN"/>
        </w:rPr>
      </w:pPr>
      <w:r>
        <w:rPr>
          <w:rFonts w:hint="default" w:ascii="方正兰亭黑简体" w:hAnsi="方正兰亭黑简体" w:eastAsia="方正兰亭黑简体"/>
          <w:color w:val="0000FF"/>
          <w:lang w:val="en-US" w:eastAsia="zh-CN"/>
        </w:rPr>
        <w:br w:type="page"/>
      </w: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left="0" w:leftChars="0" w:firstLine="0" w:firstLineChars="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spacing w:line="400" w:lineRule="exact"/>
        <w:ind w:firstLine="420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181610</wp:posOffset>
            </wp:positionV>
            <wp:extent cx="2770505" cy="1026160"/>
            <wp:effectExtent l="0" t="0" r="0" b="2540"/>
            <wp:wrapNone/>
            <wp:docPr id="13" name="图片 13" descr="图片包含 游戏机, 画, 灯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图片包含 游戏机, 画, 灯&#10;&#10;描述已自动生成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770505" cy="102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36"/>
        <w:jc w:val="center"/>
        <w:rPr>
          <w:rFonts w:ascii="方正兰亭黑简体" w:hAnsi="方正兰亭黑简体" w:eastAsia="方正兰亭黑简体"/>
        </w:rPr>
      </w:pP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>中国广东省深圳市南山区学苑大道1001号南山智园A4栋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 xml:space="preserve">Block A4, Nanshan iPark, 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 xml:space="preserve">No.1001 Xueyuan Road, Nanshan District, Shenzhen, 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>Guangdong Province, P. R. China (518055)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>售前咨询热线：400-878-3313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ascii="方正兰亭黑简体" w:hAnsi="方正兰亭黑简体" w:eastAsia="方正兰亭黑简体"/>
        </w:rPr>
        <w:t>售后服务热线：400-878-3389</w:t>
      </w:r>
    </w:p>
    <w:p>
      <w:pPr>
        <w:pStyle w:val="40"/>
        <w:rPr>
          <w:rFonts w:ascii="方正兰亭黑简体" w:hAnsi="方正兰亭黑简体" w:eastAsia="方正兰亭黑简体"/>
        </w:rPr>
      </w:pPr>
      <w:r>
        <w:rPr>
          <w:rFonts w:hint="eastAsia" w:ascii="方正兰亭黑简体" w:hAnsi="方正兰亭黑简体" w:eastAsia="方正兰亭黑简体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-1151890</wp:posOffset>
            </wp:positionH>
            <wp:positionV relativeFrom="paragraph">
              <wp:posOffset>2516505</wp:posOffset>
            </wp:positionV>
            <wp:extent cx="7601585" cy="1334135"/>
            <wp:effectExtent l="0" t="0" r="18415" b="18415"/>
            <wp:wrapNone/>
            <wp:docPr id="4" name="图片 4" descr="顶底图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顶底图片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334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方正兰亭黑简体" w:hAnsi="方正兰亭黑简体" w:eastAsia="方正兰亭黑简体"/>
        </w:rPr>
        <w:t>网址：www</w:t>
      </w:r>
      <w:r>
        <w:rPr>
          <w:rFonts w:ascii="方正兰亭黑简体" w:hAnsi="方正兰亭黑简体" w:eastAsia="方正兰亭黑简体"/>
        </w:rPr>
        <w:t>.sundray.com.cn</w:t>
      </w:r>
    </w:p>
    <w:sectPr>
      <w:headerReference r:id="rId13" w:type="default"/>
      <w:footerReference r:id="rId15" w:type="default"/>
      <w:headerReference r:id="rId14" w:type="even"/>
      <w:pgSz w:w="11906" w:h="16838"/>
      <w:pgMar w:top="1440" w:right="1797" w:bottom="1440" w:left="1797" w:header="851" w:footer="992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420"/>
      </w:pPr>
      <w:r>
        <w:separator/>
      </w:r>
    </w:p>
  </w:endnote>
  <w:endnote w:type="continuationSeparator" w:id="1">
    <w:p>
      <w:pPr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兰亭黑简体">
    <w:altName w:val="黑体"/>
    <w:panose1 w:val="02000500000000000000"/>
    <w:charset w:val="86"/>
    <w:family w:val="modern"/>
    <w:pitch w:val="default"/>
    <w:sig w:usb0="00000000" w:usb1="00000000" w:usb2="00000012" w:usb3="00000000" w:csb0="00040003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  <w:r>
      <w:drawing>
        <wp:inline distT="0" distB="0" distL="0" distR="0">
          <wp:extent cx="5266690" cy="359410"/>
          <wp:effectExtent l="0" t="0" r="0" b="0"/>
          <wp:docPr id="10" name="图片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图片 10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66944" cy="359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Style w:val="21"/>
      </w:rPr>
      <w:id w:val="-480850232"/>
    </w:sdtPr>
    <w:sdtEndPr>
      <w:rPr>
        <w:rStyle w:val="21"/>
      </w:rPr>
    </w:sdtEndPr>
    <w:sdtContent>
      <w:p>
        <w:pPr>
          <w:pStyle w:val="14"/>
          <w:framePr w:wrap="around" w:vAnchor="text" w:hAnchor="margin" w:xAlign="right" w:y="1"/>
          <w:ind w:firstLine="360"/>
          <w:rPr>
            <w:rStyle w:val="21"/>
          </w:rPr>
        </w:pPr>
        <w:r>
          <w:rPr>
            <w:rStyle w:val="21"/>
          </w:rPr>
          <w:fldChar w:fldCharType="begin"/>
        </w:r>
        <w:r>
          <w:rPr>
            <w:rStyle w:val="21"/>
          </w:rPr>
          <w:instrText xml:space="preserve"> PAGE </w:instrText>
        </w:r>
        <w:r>
          <w:rPr>
            <w:rStyle w:val="21"/>
          </w:rPr>
          <w:fldChar w:fldCharType="end"/>
        </w:r>
      </w:p>
    </w:sdtContent>
  </w:sdt>
  <w:p>
    <w:pPr>
      <w:pStyle w:val="14"/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pBdr>
        <w:top w:val="single" w:color="auto" w:sz="4" w:space="1"/>
      </w:pBdr>
      <w:ind w:firstLine="360"/>
      <w:rPr>
        <w:rFonts w:ascii="方正兰亭黑简体" w:hAnsi="方正兰亭黑简体" w:eastAsia="方正兰亭黑简体"/>
      </w:rPr>
    </w:pPr>
    <w:r>
      <w:rPr>
        <w:rFonts w:hint="eastAsia" w:ascii="宋体" w:hAnsi="宋体" w:eastAsia="宋体" w:cs="宋体"/>
      </w:rPr>
      <w:t>©</w:t>
    </w:r>
    <w:r>
      <w:rPr>
        <w:rFonts w:hint="eastAsia" w:ascii="方正兰亭黑简体" w:hAnsi="方正兰亭黑简体" w:eastAsia="方正兰亭黑简体"/>
      </w:rPr>
      <w:t xml:space="preserve"> 深圳市信锐网科技术有限公司版权所有                         </w:t>
    </w:r>
    <w:r>
      <w:rPr>
        <w:rFonts w:ascii="方正兰亭黑简体" w:hAnsi="方正兰亭黑简体" w:eastAsia="方正兰亭黑简体"/>
      </w:rPr>
      <w:t>www.s</w:t>
    </w:r>
    <w:r>
      <w:rPr>
        <w:rFonts w:hint="eastAsia" w:ascii="方正兰亭黑简体" w:hAnsi="方正兰亭黑简体" w:eastAsia="方正兰亭黑简体"/>
      </w:rPr>
      <w:t>undray</w:t>
    </w:r>
    <w:r>
      <w:rPr>
        <w:rFonts w:ascii="方正兰亭黑简体" w:hAnsi="方正兰亭黑简体" w:eastAsia="方正兰亭黑简体"/>
      </w:rPr>
      <w:t xml:space="preserve">.com.cn                 </w:t>
    </w:r>
    <w:r>
      <w:rPr>
        <w:rFonts w:hint="eastAsia" w:ascii="方正兰亭黑简体" w:hAnsi="方正兰亭黑简体" w:eastAsia="方正兰亭黑简体"/>
      </w:rPr>
      <w:t xml:space="preserve">            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ind w:firstLine="360"/>
    </w:pPr>
  </w:p>
  <w:p>
    <w:pPr>
      <w:pStyle w:val="14"/>
      <w:pBdr>
        <w:top w:val="single" w:color="auto" w:sz="4" w:space="1"/>
      </w:pBdr>
      <w:ind w:firstLine="360"/>
      <w:rPr>
        <w:rFonts w:asciiTheme="majorEastAsia" w:hAnsiTheme="majorEastAsia" w:eastAsiaTheme="majorEastAsia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39476123"/>
      <w:docPartObj>
        <w:docPartGallery w:val="autotext"/>
      </w:docPartObj>
    </w:sdtPr>
    <w:sdtContent>
      <w:p>
        <w:pPr>
          <w:pStyle w:val="14"/>
          <w:ind w:firstLine="36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4</w:t>
        </w:r>
        <w:r>
          <w:fldChar w:fldCharType="end"/>
        </w:r>
      </w:p>
    </w:sdtContent>
  </w:sdt>
  <w:p>
    <w:pPr>
      <w:pStyle w:val="37"/>
      <w:ind w:right="357" w:firstLine="0" w:firstLineChars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420"/>
      </w:pPr>
      <w:r>
        <w:separator/>
      </w:r>
    </w:p>
  </w:footnote>
  <w:footnote w:type="continuationSeparator" w:id="1">
    <w:p>
      <w:pPr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0" w:firstLineChars="0"/>
      <w:jc w:val="left"/>
    </w:pPr>
    <w:r>
      <w:rPr>
        <w:rFonts w:ascii="方正兰亭黑简体" w:hAnsi="方正兰亭黑简体" w:eastAsia="方正兰亭黑简体"/>
        <w:sz w:val="52"/>
        <w:szCs w:val="52"/>
      </w:rPr>
      <w:drawing>
        <wp:inline distT="0" distB="0" distL="0" distR="0">
          <wp:extent cx="847725" cy="313690"/>
          <wp:effectExtent l="0" t="0" r="9525" b="0"/>
          <wp:docPr id="2" name="图片 2" descr="C:\Users\SXF-Admin\Desktop\01 信锐logo黑色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C:\Users\SXF-Admin\Desktop\01 信锐logo黑色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54000" cy="31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5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  <w:spacing w:line="240" w:lineRule="atLeast"/>
      <w:rPr>
        <w:rFonts w:hint="default" w:ascii="黑体" w:hAnsi="Calibri" w:eastAsia="黑体"/>
        <w:bCs/>
        <w:color w:val="0070C0"/>
        <w:sz w:val="21"/>
        <w:szCs w:val="28"/>
        <w:lang w:val="en-US" w:eastAsia="zh-CN"/>
      </w:rPr>
    </w:pPr>
    <w:r>
      <w:rPr>
        <w:rFonts w:ascii="方正兰亭黑简体" w:hAnsi="方正兰亭黑简体" w:eastAsia="方正兰亭黑简体"/>
        <w:sz w:val="52"/>
        <w:szCs w:val="52"/>
      </w:rPr>
      <w:drawing>
        <wp:inline distT="0" distB="0" distL="0" distR="0">
          <wp:extent cx="883920" cy="327025"/>
          <wp:effectExtent l="0" t="0" r="0" b="0"/>
          <wp:docPr id="9" name="图片 9" descr="C:\Users\SXF-Admin\Desktop\01 信锐logo黑色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 descr="C:\Users\SXF-Admin\Desktop\01 信锐logo黑色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87322" cy="3281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Style w:val="52"/>
      </w:rPr>
      <w:tab/>
    </w:r>
    <w:r>
      <w:rPr>
        <w:rStyle w:val="52"/>
      </w:rPr>
      <w:tab/>
    </w:r>
    <w:r>
      <w:rPr>
        <w:rStyle w:val="52"/>
        <w:rFonts w:hint="eastAsia" w:eastAsia="黑体"/>
        <w:lang w:val="en-US" w:eastAsia="zh-CN"/>
      </w:rPr>
      <w:t>XXX客户无线迁移方案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2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E23F43"/>
    <w:multiLevelType w:val="singleLevel"/>
    <w:tmpl w:val="9BE23F43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502307AC"/>
    <w:multiLevelType w:val="multilevel"/>
    <w:tmpl w:val="502307AC"/>
    <w:lvl w:ilvl="0" w:tentative="0">
      <w:start w:val="1"/>
      <w:numFmt w:val="decimal"/>
      <w:pStyle w:val="2"/>
      <w:suff w:val="space"/>
      <w:lvlText w:val="第%1章"/>
      <w:lvlJc w:val="left"/>
      <w:pPr>
        <w:ind w:left="0" w:firstLine="0"/>
      </w:pPr>
      <w:rPr>
        <w:rFonts w:hint="eastAsia" w:ascii="方正兰亭黑简体" w:hAnsi="方正兰亭黑简体" w:eastAsia="方正兰亭黑简体"/>
        <w:b/>
        <w:i w:val="0"/>
        <w:sz w:val="28"/>
      </w:rPr>
    </w:lvl>
    <w:lvl w:ilvl="1" w:tentative="0">
      <w:start w:val="1"/>
      <w:numFmt w:val="decimal"/>
      <w:pStyle w:val="3"/>
      <w:suff w:val="space"/>
      <w:lvlText w:val="%1.%2"/>
      <w:lvlJc w:val="left"/>
      <w:pPr>
        <w:ind w:left="0" w:firstLine="0"/>
      </w:pPr>
      <w:rPr>
        <w:rFonts w:hint="default" w:ascii="方正兰亭黑简体" w:hAnsi="方正兰亭黑简体" w:eastAsia="方正兰亭黑简体"/>
        <w:b/>
        <w:i w:val="0"/>
        <w:sz w:val="24"/>
        <w:szCs w:val="24"/>
      </w:rPr>
    </w:lvl>
    <w:lvl w:ilvl="2" w:tentative="0">
      <w:start w:val="1"/>
      <w:numFmt w:val="decimal"/>
      <w:pStyle w:val="4"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space"/>
      <w:lvlText w:val="%1.%2.%3.%4"/>
      <w:lvlJc w:val="left"/>
      <w:pPr>
        <w:ind w:left="0" w:firstLine="0"/>
      </w:pPr>
      <w:rPr>
        <w:rFonts w:hint="eastAsia"/>
      </w:rPr>
    </w:lvl>
    <w:lvl w:ilvl="4" w:tentative="0">
      <w:start w:val="1"/>
      <w:numFmt w:val="decimal"/>
      <w:pStyle w:val="6"/>
      <w:suff w:val="space"/>
      <w:lvlText w:val="%1.%2.%3.%4.%5"/>
      <w:lvlJc w:val="left"/>
      <w:pPr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space"/>
      <w:lvlText w:val="%1.%2.%3.%4.%5.%6"/>
      <w:lvlJc w:val="left"/>
      <w:pPr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space"/>
      <w:lvlText w:val="%1.%2.%3.%4.%5.%6.%7"/>
      <w:lvlJc w:val="left"/>
      <w:pPr>
        <w:ind w:left="0" w:firstLine="0"/>
      </w:pPr>
      <w:rPr>
        <w:rFonts w:hint="eastAsia"/>
      </w:rPr>
    </w:lvl>
    <w:lvl w:ilvl="7" w:tentative="0">
      <w:start w:val="1"/>
      <w:numFmt w:val="decimal"/>
      <w:pStyle w:val="9"/>
      <w:suff w:val="space"/>
      <w:lvlText w:val="%1.%2.%3.%4.%5.%6.%7.%8"/>
      <w:lvlJc w:val="left"/>
      <w:pPr>
        <w:ind w:left="0" w:firstLine="0"/>
      </w:pPr>
      <w:rPr>
        <w:rFonts w:hint="eastAsia"/>
      </w:rPr>
    </w:lvl>
    <w:lvl w:ilvl="8" w:tentative="0">
      <w:start w:val="1"/>
      <w:numFmt w:val="decimal"/>
      <w:pStyle w:val="10"/>
      <w:suff w:val="space"/>
      <w:lvlText w:val="%1.%2.%3.%4.%5.%6.%7.%8.%9"/>
      <w:lvlJc w:val="left"/>
      <w:pPr>
        <w:ind w:left="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Q1NTg3OTdlOTI4NzhhODE5MzNkYzY2NWMwNjE5NGUifQ=="/>
  </w:docVars>
  <w:rsids>
    <w:rsidRoot w:val="00641FA0"/>
    <w:rsid w:val="00000C30"/>
    <w:rsid w:val="000026DF"/>
    <w:rsid w:val="000275EC"/>
    <w:rsid w:val="00041601"/>
    <w:rsid w:val="00050A18"/>
    <w:rsid w:val="00057EBB"/>
    <w:rsid w:val="000619D8"/>
    <w:rsid w:val="0007662C"/>
    <w:rsid w:val="00085359"/>
    <w:rsid w:val="000927AD"/>
    <w:rsid w:val="00093245"/>
    <w:rsid w:val="000A53EA"/>
    <w:rsid w:val="000C4825"/>
    <w:rsid w:val="000D5DB8"/>
    <w:rsid w:val="000F0118"/>
    <w:rsid w:val="000F60DB"/>
    <w:rsid w:val="000F6159"/>
    <w:rsid w:val="00115F27"/>
    <w:rsid w:val="00150590"/>
    <w:rsid w:val="00162375"/>
    <w:rsid w:val="001822F2"/>
    <w:rsid w:val="00182FE0"/>
    <w:rsid w:val="001A2306"/>
    <w:rsid w:val="001B7F56"/>
    <w:rsid w:val="00216F75"/>
    <w:rsid w:val="002B2928"/>
    <w:rsid w:val="002D0EC1"/>
    <w:rsid w:val="002E0C33"/>
    <w:rsid w:val="002E7572"/>
    <w:rsid w:val="00302908"/>
    <w:rsid w:val="0032301A"/>
    <w:rsid w:val="0033753C"/>
    <w:rsid w:val="003861DA"/>
    <w:rsid w:val="003A4A44"/>
    <w:rsid w:val="003D51A1"/>
    <w:rsid w:val="003D65C5"/>
    <w:rsid w:val="00415CD9"/>
    <w:rsid w:val="00416CB5"/>
    <w:rsid w:val="00420FC8"/>
    <w:rsid w:val="00422B51"/>
    <w:rsid w:val="004471B6"/>
    <w:rsid w:val="004571C6"/>
    <w:rsid w:val="004627B6"/>
    <w:rsid w:val="00464CF6"/>
    <w:rsid w:val="00470C9E"/>
    <w:rsid w:val="00481C8B"/>
    <w:rsid w:val="00487B03"/>
    <w:rsid w:val="00493E92"/>
    <w:rsid w:val="004A3410"/>
    <w:rsid w:val="004B62C5"/>
    <w:rsid w:val="004D634B"/>
    <w:rsid w:val="004E20F3"/>
    <w:rsid w:val="004F4C81"/>
    <w:rsid w:val="005035E9"/>
    <w:rsid w:val="005358B5"/>
    <w:rsid w:val="00536EF9"/>
    <w:rsid w:val="0053716A"/>
    <w:rsid w:val="005628B6"/>
    <w:rsid w:val="005736AA"/>
    <w:rsid w:val="0059735C"/>
    <w:rsid w:val="005C5265"/>
    <w:rsid w:val="005D483A"/>
    <w:rsid w:val="005F27DB"/>
    <w:rsid w:val="005F5A82"/>
    <w:rsid w:val="0061661F"/>
    <w:rsid w:val="006326BB"/>
    <w:rsid w:val="0063694F"/>
    <w:rsid w:val="00637492"/>
    <w:rsid w:val="00641FA0"/>
    <w:rsid w:val="006544A6"/>
    <w:rsid w:val="00677D95"/>
    <w:rsid w:val="0068161C"/>
    <w:rsid w:val="006A618A"/>
    <w:rsid w:val="006B49F0"/>
    <w:rsid w:val="006C374E"/>
    <w:rsid w:val="006D0B94"/>
    <w:rsid w:val="006E161A"/>
    <w:rsid w:val="006E4A3C"/>
    <w:rsid w:val="006E5F29"/>
    <w:rsid w:val="006F63D5"/>
    <w:rsid w:val="00705137"/>
    <w:rsid w:val="00713C45"/>
    <w:rsid w:val="00731B70"/>
    <w:rsid w:val="0076722E"/>
    <w:rsid w:val="0077013F"/>
    <w:rsid w:val="00771A3E"/>
    <w:rsid w:val="00773E18"/>
    <w:rsid w:val="007D2630"/>
    <w:rsid w:val="007E09F6"/>
    <w:rsid w:val="007E62D0"/>
    <w:rsid w:val="007E7C19"/>
    <w:rsid w:val="007F2CB5"/>
    <w:rsid w:val="007F4428"/>
    <w:rsid w:val="00837871"/>
    <w:rsid w:val="00840C31"/>
    <w:rsid w:val="0085300C"/>
    <w:rsid w:val="0085665C"/>
    <w:rsid w:val="008764C4"/>
    <w:rsid w:val="00891732"/>
    <w:rsid w:val="008959AE"/>
    <w:rsid w:val="008971A5"/>
    <w:rsid w:val="008A40F0"/>
    <w:rsid w:val="008B59D8"/>
    <w:rsid w:val="008F56DF"/>
    <w:rsid w:val="009049D3"/>
    <w:rsid w:val="009136A4"/>
    <w:rsid w:val="0092074D"/>
    <w:rsid w:val="00942FD8"/>
    <w:rsid w:val="00946C6F"/>
    <w:rsid w:val="00971466"/>
    <w:rsid w:val="00994CB4"/>
    <w:rsid w:val="009A4047"/>
    <w:rsid w:val="009E7E39"/>
    <w:rsid w:val="009F4F3A"/>
    <w:rsid w:val="00A2292F"/>
    <w:rsid w:val="00A838A7"/>
    <w:rsid w:val="00A90FE7"/>
    <w:rsid w:val="00A928C8"/>
    <w:rsid w:val="00AA0B85"/>
    <w:rsid w:val="00AA6399"/>
    <w:rsid w:val="00AB057F"/>
    <w:rsid w:val="00AD5B74"/>
    <w:rsid w:val="00AD639D"/>
    <w:rsid w:val="00AD74E3"/>
    <w:rsid w:val="00B12B31"/>
    <w:rsid w:val="00B149F0"/>
    <w:rsid w:val="00B273F8"/>
    <w:rsid w:val="00B428DE"/>
    <w:rsid w:val="00BA6F31"/>
    <w:rsid w:val="00BD6968"/>
    <w:rsid w:val="00BD7805"/>
    <w:rsid w:val="00BF3C75"/>
    <w:rsid w:val="00BF3EA7"/>
    <w:rsid w:val="00C53647"/>
    <w:rsid w:val="00C542D9"/>
    <w:rsid w:val="00C56C51"/>
    <w:rsid w:val="00C7438F"/>
    <w:rsid w:val="00C94B51"/>
    <w:rsid w:val="00CC5CBD"/>
    <w:rsid w:val="00CD62F3"/>
    <w:rsid w:val="00CE31EC"/>
    <w:rsid w:val="00D13871"/>
    <w:rsid w:val="00D27309"/>
    <w:rsid w:val="00D402B1"/>
    <w:rsid w:val="00D504D4"/>
    <w:rsid w:val="00D765C9"/>
    <w:rsid w:val="00DA58DB"/>
    <w:rsid w:val="00DB67B8"/>
    <w:rsid w:val="00DC180B"/>
    <w:rsid w:val="00DD2EEE"/>
    <w:rsid w:val="00DD7A5B"/>
    <w:rsid w:val="00DF59FA"/>
    <w:rsid w:val="00E30667"/>
    <w:rsid w:val="00E41A30"/>
    <w:rsid w:val="00E4642D"/>
    <w:rsid w:val="00E5777C"/>
    <w:rsid w:val="00E57A68"/>
    <w:rsid w:val="00E62DA8"/>
    <w:rsid w:val="00E665DE"/>
    <w:rsid w:val="00E92662"/>
    <w:rsid w:val="00EA514B"/>
    <w:rsid w:val="00EB2A28"/>
    <w:rsid w:val="00EC7C8D"/>
    <w:rsid w:val="00ED02F9"/>
    <w:rsid w:val="00ED1575"/>
    <w:rsid w:val="00EE6A5E"/>
    <w:rsid w:val="00F01883"/>
    <w:rsid w:val="00F01AFB"/>
    <w:rsid w:val="00F031FA"/>
    <w:rsid w:val="00F46FB0"/>
    <w:rsid w:val="00F76DA7"/>
    <w:rsid w:val="00F835CB"/>
    <w:rsid w:val="00FA5891"/>
    <w:rsid w:val="00FC256B"/>
    <w:rsid w:val="00FF07DC"/>
    <w:rsid w:val="00FF6D66"/>
    <w:rsid w:val="02286DC3"/>
    <w:rsid w:val="030A0A8B"/>
    <w:rsid w:val="03402A63"/>
    <w:rsid w:val="035111EA"/>
    <w:rsid w:val="040939F5"/>
    <w:rsid w:val="064F49ED"/>
    <w:rsid w:val="06BC7666"/>
    <w:rsid w:val="07463240"/>
    <w:rsid w:val="096E09AE"/>
    <w:rsid w:val="09B8273B"/>
    <w:rsid w:val="0BDE5083"/>
    <w:rsid w:val="0F696F8C"/>
    <w:rsid w:val="0F711E78"/>
    <w:rsid w:val="128D57B2"/>
    <w:rsid w:val="13166D0A"/>
    <w:rsid w:val="16195F41"/>
    <w:rsid w:val="164C2821"/>
    <w:rsid w:val="16C00C4E"/>
    <w:rsid w:val="16E573D4"/>
    <w:rsid w:val="177D585E"/>
    <w:rsid w:val="17C666B8"/>
    <w:rsid w:val="190454B7"/>
    <w:rsid w:val="19A55ED7"/>
    <w:rsid w:val="19E30DA8"/>
    <w:rsid w:val="1ABA27BE"/>
    <w:rsid w:val="1AD2771A"/>
    <w:rsid w:val="1BB1407E"/>
    <w:rsid w:val="1C0C207A"/>
    <w:rsid w:val="1C721991"/>
    <w:rsid w:val="1D1F62F9"/>
    <w:rsid w:val="1D9B044B"/>
    <w:rsid w:val="1DA10BA9"/>
    <w:rsid w:val="1DBA7555"/>
    <w:rsid w:val="1F26202E"/>
    <w:rsid w:val="221A365E"/>
    <w:rsid w:val="22546A36"/>
    <w:rsid w:val="26B03985"/>
    <w:rsid w:val="282576A5"/>
    <w:rsid w:val="287F0D7C"/>
    <w:rsid w:val="28B042E2"/>
    <w:rsid w:val="2AB544C6"/>
    <w:rsid w:val="2C970318"/>
    <w:rsid w:val="2FDA5E43"/>
    <w:rsid w:val="31EC3FA8"/>
    <w:rsid w:val="35674897"/>
    <w:rsid w:val="38AE1763"/>
    <w:rsid w:val="38D71082"/>
    <w:rsid w:val="3CF30077"/>
    <w:rsid w:val="3F2A063A"/>
    <w:rsid w:val="3FDB4C7A"/>
    <w:rsid w:val="42412DB6"/>
    <w:rsid w:val="44165785"/>
    <w:rsid w:val="44AB433A"/>
    <w:rsid w:val="45385419"/>
    <w:rsid w:val="46A45DE9"/>
    <w:rsid w:val="47AE50F9"/>
    <w:rsid w:val="47D50858"/>
    <w:rsid w:val="480F1FA1"/>
    <w:rsid w:val="48DE2BEF"/>
    <w:rsid w:val="4B275FF8"/>
    <w:rsid w:val="4C827813"/>
    <w:rsid w:val="4E123FC2"/>
    <w:rsid w:val="4F2A68EE"/>
    <w:rsid w:val="501435AB"/>
    <w:rsid w:val="506642BB"/>
    <w:rsid w:val="52AD5985"/>
    <w:rsid w:val="55477AC8"/>
    <w:rsid w:val="557B66CE"/>
    <w:rsid w:val="576C35FB"/>
    <w:rsid w:val="59010194"/>
    <w:rsid w:val="5A6403F3"/>
    <w:rsid w:val="5B0608E3"/>
    <w:rsid w:val="5C533E08"/>
    <w:rsid w:val="5FFE2899"/>
    <w:rsid w:val="607F6F70"/>
    <w:rsid w:val="62227A61"/>
    <w:rsid w:val="640B4955"/>
    <w:rsid w:val="64C3600D"/>
    <w:rsid w:val="663911C6"/>
    <w:rsid w:val="68AF6FB1"/>
    <w:rsid w:val="6B05304E"/>
    <w:rsid w:val="6C0864EE"/>
    <w:rsid w:val="6DB544BA"/>
    <w:rsid w:val="6E8B3532"/>
    <w:rsid w:val="705803FB"/>
    <w:rsid w:val="70AA6167"/>
    <w:rsid w:val="71967069"/>
    <w:rsid w:val="75834F63"/>
    <w:rsid w:val="76084659"/>
    <w:rsid w:val="774E643A"/>
    <w:rsid w:val="79EE26FA"/>
    <w:rsid w:val="7A6A54E3"/>
    <w:rsid w:val="7AC46E76"/>
    <w:rsid w:val="7B7745D8"/>
    <w:rsid w:val="7B827C7F"/>
    <w:rsid w:val="7BD1308B"/>
    <w:rsid w:val="7C0617D3"/>
    <w:rsid w:val="7C647D38"/>
    <w:rsid w:val="7F063EEE"/>
    <w:rsid w:val="7FC85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qFormat="1" w:uiPriority="99" w:name="line number"/>
    <w:lsdException w:qFormat="1"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30"/>
    <w:qFormat/>
    <w:uiPriority w:val="9"/>
    <w:pPr>
      <w:keepNext/>
      <w:keepLines/>
      <w:numPr>
        <w:ilvl w:val="0"/>
        <w:numId w:val="1"/>
      </w:numPr>
      <w:spacing w:before="340" w:after="330" w:line="578" w:lineRule="auto"/>
      <w:ind w:firstLineChars="0"/>
      <w:outlineLvl w:val="0"/>
    </w:pPr>
    <w:rPr>
      <w:rFonts w:eastAsia="方正兰亭黑简体" w:asciiTheme="majorEastAsia" w:hAnsiTheme="majorEastAsia"/>
      <w:b/>
      <w:bCs/>
      <w:kern w:val="44"/>
      <w:sz w:val="28"/>
      <w:szCs w:val="44"/>
    </w:rPr>
  </w:style>
  <w:style w:type="paragraph" w:styleId="3">
    <w:name w:val="heading 2"/>
    <w:basedOn w:val="2"/>
    <w:next w:val="1"/>
    <w:link w:val="34"/>
    <w:unhideWhenUsed/>
    <w:qFormat/>
    <w:uiPriority w:val="9"/>
    <w:pPr>
      <w:numPr>
        <w:ilvl w:val="1"/>
      </w:numPr>
      <w:spacing w:before="260" w:after="260" w:line="360" w:lineRule="auto"/>
      <w:outlineLvl w:val="1"/>
    </w:pPr>
    <w:rPr>
      <w:rFonts w:cstheme="majorBidi"/>
      <w:bCs w:val="0"/>
      <w:sz w:val="24"/>
      <w:szCs w:val="28"/>
    </w:rPr>
  </w:style>
  <w:style w:type="paragraph" w:styleId="4">
    <w:name w:val="heading 3"/>
    <w:basedOn w:val="2"/>
    <w:next w:val="1"/>
    <w:link w:val="35"/>
    <w:unhideWhenUsed/>
    <w:qFormat/>
    <w:uiPriority w:val="9"/>
    <w:pPr>
      <w:numPr>
        <w:ilvl w:val="2"/>
      </w:numPr>
      <w:outlineLvl w:val="2"/>
    </w:pPr>
    <w:rPr>
      <w:rFonts w:asciiTheme="majorAscii" w:hAnsiTheme="majorAscii"/>
      <w:sz w:val="21"/>
    </w:rPr>
  </w:style>
  <w:style w:type="paragraph" w:styleId="5">
    <w:name w:val="heading 4"/>
    <w:basedOn w:val="2"/>
    <w:next w:val="1"/>
    <w:link w:val="43"/>
    <w:unhideWhenUsed/>
    <w:qFormat/>
    <w:uiPriority w:val="9"/>
    <w:pPr>
      <w:numPr>
        <w:ilvl w:val="3"/>
      </w:numPr>
      <w:outlineLvl w:val="3"/>
    </w:pPr>
  </w:style>
  <w:style w:type="paragraph" w:styleId="6">
    <w:name w:val="heading 5"/>
    <w:basedOn w:val="2"/>
    <w:next w:val="1"/>
    <w:link w:val="44"/>
    <w:unhideWhenUsed/>
    <w:qFormat/>
    <w:uiPriority w:val="9"/>
    <w:pPr>
      <w:numPr>
        <w:ilvl w:val="4"/>
      </w:numPr>
      <w:outlineLvl w:val="4"/>
    </w:pPr>
  </w:style>
  <w:style w:type="paragraph" w:styleId="7">
    <w:name w:val="heading 6"/>
    <w:basedOn w:val="2"/>
    <w:next w:val="1"/>
    <w:link w:val="45"/>
    <w:unhideWhenUsed/>
    <w:qFormat/>
    <w:uiPriority w:val="9"/>
    <w:pPr>
      <w:numPr>
        <w:ilvl w:val="5"/>
      </w:numPr>
      <w:outlineLvl w:val="5"/>
    </w:pPr>
  </w:style>
  <w:style w:type="paragraph" w:styleId="8">
    <w:name w:val="heading 7"/>
    <w:basedOn w:val="2"/>
    <w:next w:val="1"/>
    <w:link w:val="46"/>
    <w:unhideWhenUsed/>
    <w:qFormat/>
    <w:uiPriority w:val="9"/>
    <w:pPr>
      <w:numPr>
        <w:ilvl w:val="6"/>
      </w:numPr>
      <w:outlineLvl w:val="6"/>
    </w:pPr>
  </w:style>
  <w:style w:type="paragraph" w:styleId="9">
    <w:name w:val="heading 8"/>
    <w:basedOn w:val="2"/>
    <w:next w:val="1"/>
    <w:link w:val="47"/>
    <w:unhideWhenUsed/>
    <w:qFormat/>
    <w:uiPriority w:val="9"/>
    <w:pPr>
      <w:numPr>
        <w:ilvl w:val="7"/>
      </w:numPr>
      <w:outlineLvl w:val="7"/>
    </w:pPr>
  </w:style>
  <w:style w:type="paragraph" w:styleId="10">
    <w:name w:val="heading 9"/>
    <w:basedOn w:val="2"/>
    <w:next w:val="1"/>
    <w:link w:val="48"/>
    <w:unhideWhenUsed/>
    <w:qFormat/>
    <w:uiPriority w:val="9"/>
    <w:pPr>
      <w:numPr>
        <w:ilvl w:val="8"/>
      </w:numPr>
      <w:spacing w:before="240" w:after="64" w:line="319" w:lineRule="auto"/>
      <w:outlineLvl w:val="8"/>
    </w:pPr>
    <w:rPr>
      <w:rFonts w:asciiTheme="majorHAnsi" w:hAnsiTheme="majorHAnsi" w:cstheme="majorBidi"/>
      <w:szCs w:val="21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5"/>
    <w:basedOn w:val="1"/>
    <w:next w:val="1"/>
    <w:semiHidden/>
    <w:unhideWhenUsed/>
    <w:qFormat/>
    <w:uiPriority w:val="39"/>
    <w:pPr>
      <w:ind w:firstLine="0" w:firstLineChars="0"/>
    </w:pPr>
  </w:style>
  <w:style w:type="paragraph" w:styleId="12">
    <w:name w:val="toc 3"/>
    <w:basedOn w:val="1"/>
    <w:next w:val="1"/>
    <w:unhideWhenUsed/>
    <w:qFormat/>
    <w:uiPriority w:val="39"/>
    <w:pPr>
      <w:ind w:firstLine="0" w:firstLineChars="0"/>
    </w:pPr>
  </w:style>
  <w:style w:type="paragraph" w:styleId="13">
    <w:name w:val="Balloon Text"/>
    <w:basedOn w:val="1"/>
    <w:link w:val="26"/>
    <w:semiHidden/>
    <w:unhideWhenUsed/>
    <w:qFormat/>
    <w:uiPriority w:val="99"/>
    <w:rPr>
      <w:sz w:val="18"/>
      <w:szCs w:val="18"/>
    </w:rPr>
  </w:style>
  <w:style w:type="paragraph" w:styleId="14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5">
    <w:name w:val="header"/>
    <w:basedOn w:val="1"/>
    <w:link w:val="24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6">
    <w:name w:val="toc 1"/>
    <w:basedOn w:val="1"/>
    <w:next w:val="1"/>
    <w:unhideWhenUsed/>
    <w:qFormat/>
    <w:uiPriority w:val="39"/>
    <w:pPr>
      <w:spacing w:before="120"/>
      <w:ind w:firstLine="0" w:firstLineChars="0"/>
      <w:jc w:val="left"/>
    </w:pPr>
    <w:rPr>
      <w:b/>
      <w:bCs/>
      <w:caps/>
      <w:sz w:val="22"/>
    </w:rPr>
  </w:style>
  <w:style w:type="paragraph" w:styleId="17">
    <w:name w:val="toc 4"/>
    <w:basedOn w:val="1"/>
    <w:next w:val="1"/>
    <w:unhideWhenUsed/>
    <w:qFormat/>
    <w:uiPriority w:val="39"/>
    <w:pPr>
      <w:ind w:firstLine="0" w:firstLineChars="0"/>
    </w:pPr>
  </w:style>
  <w:style w:type="paragraph" w:styleId="18">
    <w:name w:val="toc 2"/>
    <w:basedOn w:val="1"/>
    <w:next w:val="1"/>
    <w:unhideWhenUsed/>
    <w:qFormat/>
    <w:uiPriority w:val="39"/>
    <w:pPr>
      <w:ind w:firstLine="0" w:firstLineChars="0"/>
      <w:jc w:val="left"/>
    </w:pPr>
    <w:rPr>
      <w:smallCaps/>
      <w:sz w:val="22"/>
    </w:rPr>
  </w:style>
  <w:style w:type="character" w:styleId="21">
    <w:name w:val="page number"/>
    <w:basedOn w:val="20"/>
    <w:semiHidden/>
    <w:unhideWhenUsed/>
    <w:qFormat/>
    <w:uiPriority w:val="99"/>
  </w:style>
  <w:style w:type="character" w:styleId="22">
    <w:name w:val="line number"/>
    <w:basedOn w:val="20"/>
    <w:semiHidden/>
    <w:unhideWhenUsed/>
    <w:qFormat/>
    <w:uiPriority w:val="99"/>
  </w:style>
  <w:style w:type="character" w:styleId="23">
    <w:name w:val="Hyperlink"/>
    <w:basedOn w:val="2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24">
    <w:name w:val="页眉 Char1"/>
    <w:basedOn w:val="20"/>
    <w:link w:val="15"/>
    <w:qFormat/>
    <w:uiPriority w:val="99"/>
    <w:rPr>
      <w:sz w:val="18"/>
      <w:szCs w:val="18"/>
    </w:rPr>
  </w:style>
  <w:style w:type="character" w:customStyle="1" w:styleId="25">
    <w:name w:val="页脚 Char"/>
    <w:basedOn w:val="20"/>
    <w:link w:val="14"/>
    <w:qFormat/>
    <w:uiPriority w:val="99"/>
    <w:rPr>
      <w:sz w:val="18"/>
      <w:szCs w:val="18"/>
    </w:rPr>
  </w:style>
  <w:style w:type="character" w:customStyle="1" w:styleId="26">
    <w:name w:val="批注框文本 Char"/>
    <w:basedOn w:val="20"/>
    <w:link w:val="13"/>
    <w:semiHidden/>
    <w:qFormat/>
    <w:uiPriority w:val="99"/>
    <w:rPr>
      <w:sz w:val="18"/>
      <w:szCs w:val="18"/>
    </w:rPr>
  </w:style>
  <w:style w:type="paragraph" w:customStyle="1" w:styleId="27">
    <w:name w:val="SUNDRAY_1_封面"/>
    <w:basedOn w:val="1"/>
    <w:next w:val="1"/>
    <w:qFormat/>
    <w:uiPriority w:val="0"/>
    <w:pPr>
      <w:spacing w:before="240" w:after="60"/>
      <w:ind w:firstLine="0" w:firstLineChars="0"/>
      <w:jc w:val="center"/>
    </w:pPr>
    <w:rPr>
      <w:rFonts w:ascii="Times New Roman" w:hAnsi="Times New Roman" w:eastAsia="黑体" w:cs="Arial"/>
      <w:bCs/>
      <w:sz w:val="72"/>
      <w:szCs w:val="84"/>
    </w:rPr>
  </w:style>
  <w:style w:type="character" w:customStyle="1" w:styleId="28">
    <w:name w:val="SANGFOR_2_封面日期 Char Char"/>
    <w:link w:val="29"/>
    <w:qFormat/>
    <w:uiPriority w:val="0"/>
    <w:rPr>
      <w:rFonts w:eastAsia="隶书"/>
      <w:b/>
      <w:kern w:val="2"/>
      <w:sz w:val="32"/>
      <w:szCs w:val="22"/>
    </w:rPr>
  </w:style>
  <w:style w:type="paragraph" w:customStyle="1" w:styleId="29">
    <w:name w:val="SANGFOR_2_封面日期"/>
    <w:basedOn w:val="1"/>
    <w:link w:val="28"/>
    <w:qFormat/>
    <w:uiPriority w:val="0"/>
    <w:pPr>
      <w:ind w:firstLine="0" w:firstLineChars="0"/>
      <w:jc w:val="center"/>
    </w:pPr>
    <w:rPr>
      <w:rFonts w:eastAsia="隶书"/>
      <w:b/>
      <w:sz w:val="32"/>
    </w:rPr>
  </w:style>
  <w:style w:type="character" w:customStyle="1" w:styleId="30">
    <w:name w:val="标题 1 Char"/>
    <w:basedOn w:val="20"/>
    <w:link w:val="2"/>
    <w:qFormat/>
    <w:uiPriority w:val="9"/>
    <w:rPr>
      <w:rFonts w:eastAsia="方正兰亭黑简体" w:asciiTheme="majorEastAsia" w:hAnsiTheme="majorEastAsia"/>
      <w:b/>
      <w:bCs/>
      <w:kern w:val="44"/>
      <w:sz w:val="28"/>
      <w:szCs w:val="44"/>
    </w:rPr>
  </w:style>
  <w:style w:type="paragraph" w:customStyle="1" w:styleId="31">
    <w:name w:val="TOC 标题1"/>
    <w:basedOn w:val="2"/>
    <w:next w:val="1"/>
    <w:unhideWhenUsed/>
    <w:qFormat/>
    <w:uiPriority w:val="39"/>
    <w:pPr>
      <w:widowControl/>
      <w:numPr>
        <w:numId w:val="0"/>
      </w:numPr>
      <w:spacing w:before="480" w:after="0" w:line="276" w:lineRule="auto"/>
      <w:jc w:val="center"/>
      <w:outlineLvl w:val="9"/>
    </w:pPr>
    <w:rPr>
      <w:rFonts w:asciiTheme="majorHAnsi" w:hAnsiTheme="majorHAnsi" w:cstheme="majorBidi"/>
      <w:color w:val="376092" w:themeColor="accent1" w:themeShade="BF"/>
      <w:kern w:val="0"/>
      <w:szCs w:val="28"/>
    </w:rPr>
  </w:style>
  <w:style w:type="paragraph" w:styleId="32">
    <w:name w:val="List Paragraph"/>
    <w:basedOn w:val="1"/>
    <w:qFormat/>
    <w:uiPriority w:val="34"/>
    <w:pPr>
      <w:ind w:firstLine="420"/>
    </w:pPr>
  </w:style>
  <w:style w:type="character" w:customStyle="1" w:styleId="33">
    <w:name w:val="未处理的提及1"/>
    <w:basedOn w:val="2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4">
    <w:name w:val="标题 2 Char"/>
    <w:basedOn w:val="20"/>
    <w:link w:val="3"/>
    <w:qFormat/>
    <w:uiPriority w:val="9"/>
    <w:rPr>
      <w:rFonts w:eastAsia="方正兰亭黑简体" w:asciiTheme="majorEastAsia" w:hAnsiTheme="majorEastAsia" w:cstheme="majorBidi"/>
      <w:b/>
      <w:kern w:val="44"/>
      <w:sz w:val="24"/>
      <w:szCs w:val="28"/>
    </w:rPr>
  </w:style>
  <w:style w:type="character" w:customStyle="1" w:styleId="35">
    <w:name w:val="标题 3 Char"/>
    <w:basedOn w:val="20"/>
    <w:link w:val="4"/>
    <w:qFormat/>
    <w:uiPriority w:val="9"/>
    <w:rPr>
      <w:rFonts w:eastAsia="方正兰亭黑简体" w:asciiTheme="majorAscii" w:hAnsiTheme="majorAscii"/>
      <w:b/>
      <w:bCs/>
      <w:kern w:val="44"/>
      <w:sz w:val="21"/>
      <w:szCs w:val="44"/>
    </w:rPr>
  </w:style>
  <w:style w:type="paragraph" w:customStyle="1" w:styleId="36">
    <w:name w:val="正常1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customStyle="1" w:styleId="37">
    <w:name w:val="SANGFOR_5_页脚文字"/>
    <w:basedOn w:val="1"/>
    <w:qFormat/>
    <w:uiPriority w:val="0"/>
    <w:pPr>
      <w:tabs>
        <w:tab w:val="center" w:pos="4153"/>
        <w:tab w:val="right" w:pos="8306"/>
      </w:tabs>
      <w:wordWrap w:val="0"/>
      <w:snapToGrid w:val="0"/>
      <w:ind w:right="360"/>
      <w:jc w:val="right"/>
    </w:pPr>
    <w:rPr>
      <w:rFonts w:ascii="Times New Roman" w:hAnsi="Times New Roman" w:eastAsia="宋体" w:cs="Times New Roman"/>
      <w:sz w:val="18"/>
      <w:szCs w:val="18"/>
    </w:rPr>
  </w:style>
  <w:style w:type="paragraph" w:customStyle="1" w:styleId="38">
    <w:name w:val="SANGFOR_6_正文"/>
    <w:basedOn w:val="1"/>
    <w:link w:val="39"/>
    <w:qFormat/>
    <w:uiPriority w:val="0"/>
    <w:pPr>
      <w:spacing w:line="360" w:lineRule="auto"/>
      <w:ind w:firstLine="420"/>
    </w:pPr>
    <w:rPr>
      <w:rFonts w:ascii="Times New Roman" w:hAnsi="Times New Roman" w:eastAsia="宋体" w:cs="Times New Roman"/>
      <w:szCs w:val="24"/>
    </w:rPr>
  </w:style>
  <w:style w:type="character" w:customStyle="1" w:styleId="39">
    <w:name w:val="SANGFOR_6_正文 Char"/>
    <w:link w:val="38"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40">
    <w:name w:val="SANGFOR_9_封底字体"/>
    <w:basedOn w:val="38"/>
    <w:qFormat/>
    <w:uiPriority w:val="0"/>
    <w:pPr>
      <w:ind w:firstLine="0" w:firstLineChars="0"/>
      <w:jc w:val="center"/>
    </w:pPr>
    <w:rPr>
      <w:rFonts w:ascii="Arial Unicode MS" w:hAnsi="Arial Unicode MS" w:eastAsia="微软雅黑"/>
      <w:b/>
      <w:color w:val="2E58AC"/>
      <w:szCs w:val="21"/>
    </w:rPr>
  </w:style>
  <w:style w:type="character" w:customStyle="1" w:styleId="41">
    <w:name w:val="页眉 Char"/>
    <w:qFormat/>
    <w:uiPriority w:val="0"/>
    <w:rPr>
      <w:kern w:val="2"/>
      <w:sz w:val="18"/>
      <w:szCs w:val="18"/>
    </w:rPr>
  </w:style>
  <w:style w:type="paragraph" w:customStyle="1" w:styleId="42">
    <w:name w:val="标题1-信锐"/>
    <w:basedOn w:val="2"/>
    <w:next w:val="1"/>
    <w:qFormat/>
    <w:uiPriority w:val="0"/>
    <w:rPr>
      <w:rFonts w:asciiTheme="minorHAnsi" w:hAnsiTheme="minorHAnsi"/>
    </w:rPr>
  </w:style>
  <w:style w:type="character" w:customStyle="1" w:styleId="43">
    <w:name w:val="标题 4 Char"/>
    <w:basedOn w:val="20"/>
    <w:link w:val="5"/>
    <w:qFormat/>
    <w:uiPriority w:val="9"/>
    <w:rPr>
      <w:rFonts w:asciiTheme="majorEastAsia" w:hAnsiTheme="majorEastAsia" w:eastAsiaTheme="majorEastAsia"/>
      <w:b/>
      <w:bCs/>
      <w:kern w:val="44"/>
      <w:sz w:val="28"/>
      <w:szCs w:val="44"/>
    </w:rPr>
  </w:style>
  <w:style w:type="character" w:customStyle="1" w:styleId="44">
    <w:name w:val="标题 5 Char"/>
    <w:basedOn w:val="20"/>
    <w:link w:val="6"/>
    <w:qFormat/>
    <w:uiPriority w:val="9"/>
    <w:rPr>
      <w:rFonts w:asciiTheme="majorEastAsia" w:hAnsiTheme="majorEastAsia" w:eastAsiaTheme="majorEastAsia"/>
      <w:b/>
      <w:bCs/>
      <w:kern w:val="44"/>
      <w:sz w:val="28"/>
      <w:szCs w:val="44"/>
    </w:rPr>
  </w:style>
  <w:style w:type="character" w:customStyle="1" w:styleId="45">
    <w:name w:val="标题 6 Char"/>
    <w:basedOn w:val="20"/>
    <w:link w:val="7"/>
    <w:qFormat/>
    <w:uiPriority w:val="9"/>
    <w:rPr>
      <w:rFonts w:asciiTheme="majorEastAsia" w:hAnsiTheme="majorEastAsia" w:eastAsiaTheme="majorEastAsia"/>
      <w:b/>
      <w:bCs/>
      <w:kern w:val="44"/>
      <w:sz w:val="28"/>
      <w:szCs w:val="44"/>
    </w:rPr>
  </w:style>
  <w:style w:type="character" w:customStyle="1" w:styleId="46">
    <w:name w:val="标题 7 Char"/>
    <w:basedOn w:val="20"/>
    <w:link w:val="8"/>
    <w:qFormat/>
    <w:uiPriority w:val="9"/>
    <w:rPr>
      <w:rFonts w:asciiTheme="majorEastAsia" w:hAnsiTheme="majorEastAsia" w:eastAsiaTheme="majorEastAsia"/>
      <w:b/>
      <w:bCs/>
      <w:kern w:val="44"/>
      <w:sz w:val="28"/>
      <w:szCs w:val="44"/>
    </w:rPr>
  </w:style>
  <w:style w:type="character" w:customStyle="1" w:styleId="47">
    <w:name w:val="标题 8 Char"/>
    <w:basedOn w:val="20"/>
    <w:link w:val="9"/>
    <w:qFormat/>
    <w:uiPriority w:val="9"/>
    <w:rPr>
      <w:rFonts w:asciiTheme="majorEastAsia" w:hAnsiTheme="majorEastAsia" w:eastAsiaTheme="majorEastAsia"/>
      <w:b/>
      <w:bCs/>
      <w:kern w:val="44"/>
      <w:sz w:val="28"/>
      <w:szCs w:val="44"/>
    </w:rPr>
  </w:style>
  <w:style w:type="character" w:customStyle="1" w:styleId="48">
    <w:name w:val="标题 9 Char"/>
    <w:basedOn w:val="20"/>
    <w:link w:val="10"/>
    <w:qFormat/>
    <w:uiPriority w:val="9"/>
    <w:rPr>
      <w:rFonts w:asciiTheme="majorHAnsi" w:hAnsiTheme="majorHAnsi" w:eastAsiaTheme="majorEastAsia" w:cstheme="majorBidi"/>
      <w:b/>
      <w:bCs/>
      <w:kern w:val="44"/>
      <w:sz w:val="28"/>
      <w:szCs w:val="21"/>
    </w:rPr>
  </w:style>
  <w:style w:type="paragraph" w:customStyle="1" w:styleId="49">
    <w:name w:val="无缩进正文"/>
    <w:basedOn w:val="1"/>
    <w:qFormat/>
    <w:uiPriority w:val="0"/>
    <w:pPr>
      <w:spacing w:line="400" w:lineRule="exact"/>
      <w:ind w:firstLine="0" w:firstLineChars="0"/>
    </w:pPr>
    <w:rPr>
      <w:rFonts w:asciiTheme="majorEastAsia" w:hAnsiTheme="majorEastAsia" w:eastAsiaTheme="majorEastAsia"/>
      <w:szCs w:val="21"/>
    </w:rPr>
  </w:style>
  <w:style w:type="paragraph" w:customStyle="1" w:styleId="50">
    <w:name w:val="目录样式"/>
    <w:basedOn w:val="16"/>
    <w:qFormat/>
    <w:uiPriority w:val="0"/>
    <w:pPr>
      <w:tabs>
        <w:tab w:val="right" w:leader="dot" w:pos="8296"/>
      </w:tabs>
    </w:pPr>
    <w:rPr>
      <w:rFonts w:asciiTheme="majorEastAsia" w:hAnsiTheme="majorEastAsia" w:eastAsiaTheme="majorEastAsia"/>
      <w:szCs w:val="21"/>
    </w:rPr>
  </w:style>
  <w:style w:type="paragraph" w:customStyle="1" w:styleId="51">
    <w:name w:val="页脚文字"/>
    <w:basedOn w:val="1"/>
    <w:link w:val="52"/>
    <w:qFormat/>
    <w:uiPriority w:val="0"/>
    <w:pPr>
      <w:spacing w:line="360" w:lineRule="auto"/>
      <w:ind w:firstLine="0" w:firstLineChars="0"/>
    </w:pPr>
    <w:rPr>
      <w:rFonts w:ascii="黑体" w:hAnsi="Calibri" w:eastAsia="黑体" w:cs="Times New Roman"/>
      <w:bCs/>
      <w:color w:val="0070C0"/>
      <w:kern w:val="0"/>
      <w:szCs w:val="28"/>
    </w:rPr>
  </w:style>
  <w:style w:type="character" w:customStyle="1" w:styleId="52">
    <w:name w:val="页脚文字 Char"/>
    <w:link w:val="51"/>
    <w:qFormat/>
    <w:uiPriority w:val="0"/>
    <w:rPr>
      <w:rFonts w:ascii="黑体" w:hAnsi="Calibri" w:eastAsia="黑体" w:cs="Times New Roman"/>
      <w:bCs/>
      <w:color w:val="0070C0"/>
      <w:sz w:val="21"/>
      <w:szCs w:val="28"/>
    </w:rPr>
  </w:style>
  <w:style w:type="paragraph" w:customStyle="1" w:styleId="53">
    <w:name w:val="页眉文字样式"/>
    <w:basedOn w:val="15"/>
    <w:qFormat/>
    <w:uiPriority w:val="0"/>
    <w:pPr>
      <w:spacing w:line="0" w:lineRule="atLeast"/>
      <w:ind w:firstLine="0" w:firstLineChars="0"/>
      <w:jc w:val="left"/>
    </w:pPr>
    <w:rPr>
      <w:rFonts w:ascii="Times New Roman" w:hAnsi="Times New Roman" w:eastAsia="宋体" w:cs="Times New Roman"/>
    </w:rPr>
  </w:style>
  <w:style w:type="paragraph" w:customStyle="1" w:styleId="54">
    <w:name w:val="列出段落1"/>
    <w:basedOn w:val="1"/>
    <w:qFormat/>
    <w:uiPriority w:val="34"/>
    <w:pPr>
      <w:widowControl/>
      <w:overflowPunct w:val="0"/>
      <w:autoSpaceDE w:val="0"/>
      <w:autoSpaceDN w:val="0"/>
      <w:adjustRightInd w:val="0"/>
      <w:spacing w:line="360" w:lineRule="auto"/>
      <w:ind w:firstLine="420"/>
      <w:jc w:val="left"/>
      <w:textAlignment w:val="baseline"/>
    </w:pPr>
    <w:rPr>
      <w:rFonts w:ascii="Times New Roman" w:hAnsi="Times New Roman" w:eastAsia="宋体" w:cs="Times New Roman"/>
      <w:kern w:val="0"/>
      <w:szCs w:val="20"/>
    </w:rPr>
  </w:style>
  <w:style w:type="paragraph" w:customStyle="1" w:styleId="55">
    <w:name w:val="正文（信锐）"/>
    <w:basedOn w:val="1"/>
    <w:qFormat/>
    <w:uiPriority w:val="0"/>
    <w:pPr>
      <w:spacing w:line="400" w:lineRule="exact"/>
      <w:ind w:firstLine="200" w:firstLineChars="200"/>
    </w:pPr>
  </w:style>
  <w:style w:type="character" w:customStyle="1" w:styleId="56">
    <w:name w:val="15"/>
    <w:basedOn w:val="20"/>
    <w:qFormat/>
    <w:uiPriority w:val="0"/>
    <w:rPr>
      <w:rFonts w:hint="eastAsia" w:ascii="黑体" w:hAnsi="Calibri" w:eastAsia="黑体" w:cs="Times New Roman"/>
      <w:bCs/>
      <w:color w:val="0070C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9" Type="http://schemas.openxmlformats.org/officeDocument/2006/relationships/fontTable" Target="fontTable.xml"/><Relationship Id="rId48" Type="http://schemas.openxmlformats.org/officeDocument/2006/relationships/customXml" Target="../customXml/item2.xml"/><Relationship Id="rId47" Type="http://schemas.openxmlformats.org/officeDocument/2006/relationships/numbering" Target="numbering.xml"/><Relationship Id="rId46" Type="http://schemas.openxmlformats.org/officeDocument/2006/relationships/customXml" Target="../customXml/item1.xml"/><Relationship Id="rId45" Type="http://schemas.openxmlformats.org/officeDocument/2006/relationships/image" Target="media/image30.png"/><Relationship Id="rId44" Type="http://schemas.openxmlformats.org/officeDocument/2006/relationships/image" Target="media/image29.png"/><Relationship Id="rId43" Type="http://schemas.openxmlformats.org/officeDocument/2006/relationships/image" Target="media/image28.png"/><Relationship Id="rId42" Type="http://schemas.openxmlformats.org/officeDocument/2006/relationships/image" Target="media/image27.png"/><Relationship Id="rId41" Type="http://schemas.openxmlformats.org/officeDocument/2006/relationships/image" Target="media/image26.png"/><Relationship Id="rId40" Type="http://schemas.openxmlformats.org/officeDocument/2006/relationships/image" Target="media/image25.png"/><Relationship Id="rId4" Type="http://schemas.openxmlformats.org/officeDocument/2006/relationships/endnotes" Target="endnotes.xml"/><Relationship Id="rId39" Type="http://schemas.openxmlformats.org/officeDocument/2006/relationships/image" Target="media/image24.png"/><Relationship Id="rId38" Type="http://schemas.openxmlformats.org/officeDocument/2006/relationships/image" Target="media/image23.png"/><Relationship Id="rId37" Type="http://schemas.openxmlformats.org/officeDocument/2006/relationships/image" Target="media/image22.png"/><Relationship Id="rId36" Type="http://schemas.openxmlformats.org/officeDocument/2006/relationships/image" Target="media/image21.png"/><Relationship Id="rId35" Type="http://schemas.openxmlformats.org/officeDocument/2006/relationships/image" Target="media/image20.png"/><Relationship Id="rId34" Type="http://schemas.openxmlformats.org/officeDocument/2006/relationships/image" Target="media/image19.png"/><Relationship Id="rId33" Type="http://schemas.openxmlformats.org/officeDocument/2006/relationships/image" Target="media/image18.png"/><Relationship Id="rId32" Type="http://schemas.openxmlformats.org/officeDocument/2006/relationships/image" Target="media/image17.png"/><Relationship Id="rId31" Type="http://schemas.openxmlformats.org/officeDocument/2006/relationships/image" Target="media/image16.png"/><Relationship Id="rId30" Type="http://schemas.openxmlformats.org/officeDocument/2006/relationships/image" Target="media/image15.png"/><Relationship Id="rId3" Type="http://schemas.openxmlformats.org/officeDocument/2006/relationships/footnotes" Target="footnotes.xml"/><Relationship Id="rId29" Type="http://schemas.openxmlformats.org/officeDocument/2006/relationships/image" Target="media/image14.png"/><Relationship Id="rId28" Type="http://schemas.openxmlformats.org/officeDocument/2006/relationships/image" Target="media/image13.png"/><Relationship Id="rId27" Type="http://schemas.openxmlformats.org/officeDocument/2006/relationships/image" Target="media/image12.png"/><Relationship Id="rId26" Type="http://schemas.openxmlformats.org/officeDocument/2006/relationships/image" Target="media/image11.png"/><Relationship Id="rId25" Type="http://schemas.openxmlformats.org/officeDocument/2006/relationships/image" Target="media/image10.png"/><Relationship Id="rId24" Type="http://schemas.openxmlformats.org/officeDocument/2006/relationships/image" Target="media/image9.png"/><Relationship Id="rId23" Type="http://schemas.openxmlformats.org/officeDocument/2006/relationships/image" Target="media/image8.png"/><Relationship Id="rId22" Type="http://schemas.openxmlformats.org/officeDocument/2006/relationships/image" Target="media/image7.png"/><Relationship Id="rId21" Type="http://schemas.openxmlformats.org/officeDocument/2006/relationships/image" Target="media/image6.png"/><Relationship Id="rId20" Type="http://schemas.openxmlformats.org/officeDocument/2006/relationships/image" Target="media/image5.png"/><Relationship Id="rId2" Type="http://schemas.openxmlformats.org/officeDocument/2006/relationships/settings" Target="settings.xml"/><Relationship Id="rId19" Type="http://schemas.openxmlformats.org/officeDocument/2006/relationships/image" Target="media/image4.png"/><Relationship Id="rId18" Type="http://schemas.openxmlformats.org/officeDocument/2006/relationships/image" Target="media/image1.png"/><Relationship Id="rId17" Type="http://schemas.openxmlformats.org/officeDocument/2006/relationships/image" Target="media/image3.png"/><Relationship Id="rId16" Type="http://schemas.openxmlformats.org/officeDocument/2006/relationships/theme" Target="theme/theme1.xml"/><Relationship Id="rId15" Type="http://schemas.openxmlformats.org/officeDocument/2006/relationships/footer" Target="footer6.xml"/><Relationship Id="rId14" Type="http://schemas.openxmlformats.org/officeDocument/2006/relationships/header" Target="header5.xml"/><Relationship Id="rId13" Type="http://schemas.openxmlformats.org/officeDocument/2006/relationships/header" Target="header4.xml"/><Relationship Id="rId12" Type="http://schemas.openxmlformats.org/officeDocument/2006/relationships/footer" Target="footer5.xml"/><Relationship Id="rId11" Type="http://schemas.openxmlformats.org/officeDocument/2006/relationships/footer" Target="foot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FA3DBDB-A6F7-4F94-9B77-BC8583EB69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深圳市信锐网科技术有限公司</Company>
  <Pages>21</Pages>
  <Words>3525</Words>
  <Characters>4270</Characters>
  <Lines>1</Lines>
  <Paragraphs>1</Paragraphs>
  <TotalTime>2</TotalTime>
  <ScaleCrop>false</ScaleCrop>
  <LinksUpToDate>false</LinksUpToDate>
  <CharactersWithSpaces>4376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2020-03-23T07:58:00Z</dcterms:created>
  <dc:creator>张兵</dc:creator>
  <cp:lastModifiedBy>xiaoyu</cp:lastModifiedBy>
  <dcterms:modified xsi:type="dcterms:W3CDTF">2022-09-14T02:38:20Z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FC15A67F0F4044B485F05261779E6BC2</vt:lpwstr>
  </property>
</Properties>
</file>